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Cs/>
          <w:sz w:val="44"/>
          <w:szCs w:val="44"/>
        </w:rPr>
      </w:pPr>
      <w:r>
        <w:rPr>
          <w:rFonts w:eastAsia="方正小标宋简体"/>
          <w:bCs/>
          <w:sz w:val="44"/>
          <w:szCs w:val="44"/>
        </w:rPr>
        <w:t>克拉玛依市专利奖评奖办法（试行）</w:t>
      </w:r>
    </w:p>
    <w:p>
      <w:pPr>
        <w:spacing w:line="560" w:lineRule="exact"/>
        <w:jc w:val="center"/>
        <w:rPr>
          <w:rFonts w:eastAsia="仿宋_GB2312"/>
          <w:sz w:val="32"/>
          <w:szCs w:val="32"/>
        </w:rPr>
      </w:pPr>
    </w:p>
    <w:p>
      <w:pPr>
        <w:spacing w:line="560" w:lineRule="exact"/>
        <w:jc w:val="center"/>
        <w:rPr>
          <w:rFonts w:eastAsia="仿宋_GB2312"/>
          <w:b/>
          <w:sz w:val="32"/>
          <w:szCs w:val="32"/>
        </w:rPr>
      </w:pPr>
      <w:r>
        <w:rPr>
          <w:rFonts w:eastAsia="仿宋_GB2312"/>
          <w:b/>
          <w:sz w:val="32"/>
          <w:szCs w:val="32"/>
        </w:rPr>
        <w:t>第一章  总则</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eastAsia="仿宋_GB2312"/>
          <w:b/>
          <w:bCs/>
          <w:sz w:val="32"/>
          <w:szCs w:val="32"/>
        </w:rPr>
        <w:t>第一条</w:t>
      </w:r>
      <w:r>
        <w:rPr>
          <w:rFonts w:eastAsia="仿宋_GB2312"/>
          <w:sz w:val="32"/>
          <w:szCs w:val="32"/>
        </w:rPr>
        <w:t xml:space="preserve"> 为实施国家知识产权战略，充分调动克拉玛依市创新主体的积极性，提升知识产权创造、运用、保护和管理能力，根据《新疆维吾尔自治区专利促进与保护条例》、《新疆维吾尔自治区专利奖评奖办法（暂行）》等有关规定，结合我市经济、社会发展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eastAsia="仿宋_GB2312"/>
          <w:b/>
          <w:bCs/>
          <w:sz w:val="32"/>
          <w:szCs w:val="32"/>
        </w:rPr>
        <w:t>第二条</w:t>
      </w:r>
      <w:r>
        <w:rPr>
          <w:rFonts w:eastAsia="仿宋_GB2312"/>
          <w:sz w:val="32"/>
          <w:szCs w:val="32"/>
        </w:rPr>
        <w:t xml:space="preserve"> 本办法适用于克拉玛依市专利奖（以下简称市专利奖）的评审、奖励和管理。</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eastAsia="仿宋_GB2312"/>
          <w:sz w:val="32"/>
          <w:szCs w:val="32"/>
        </w:rPr>
      </w:pPr>
      <w:r>
        <w:rPr>
          <w:rFonts w:eastAsia="仿宋_GB2312"/>
          <w:b/>
          <w:bCs/>
          <w:sz w:val="32"/>
          <w:szCs w:val="32"/>
        </w:rPr>
        <w:t>第三条</w:t>
      </w:r>
      <w:r>
        <w:rPr>
          <w:rFonts w:eastAsia="仿宋_GB2312"/>
          <w:sz w:val="32"/>
          <w:szCs w:val="32"/>
        </w:rPr>
        <w:t xml:space="preserve"> 市专利奖是市人民政府为表彰在克拉玛依行政区域内产生显著经济、社会效益的中国专利而设立的专项奖励项目。</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_GB2312"/>
          <w:sz w:val="32"/>
          <w:szCs w:val="32"/>
        </w:rPr>
      </w:pPr>
      <w:r>
        <w:rPr>
          <w:rFonts w:eastAsia="仿宋_GB2312"/>
          <w:b/>
          <w:bCs/>
          <w:kern w:val="0"/>
          <w:sz w:val="32"/>
          <w:szCs w:val="32"/>
        </w:rPr>
        <w:t>第四条</w:t>
      </w:r>
      <w:r>
        <w:rPr>
          <w:rFonts w:eastAsia="仿宋_GB2312"/>
          <w:kern w:val="0"/>
          <w:sz w:val="32"/>
          <w:szCs w:val="32"/>
        </w:rPr>
        <w:t xml:space="preserve"> 克拉玛依市专利奖的申报、受理、评审和奖励工作，遵循公开、公平、公正的原则，任何组织或者个人不得非法干预。</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eastAsia="仿宋_GB2312"/>
          <w:kern w:val="0"/>
          <w:sz w:val="32"/>
          <w:szCs w:val="32"/>
        </w:rPr>
      </w:pPr>
      <w:r>
        <w:rPr>
          <w:rFonts w:eastAsia="仿宋_GB2312"/>
          <w:b/>
          <w:bCs/>
          <w:sz w:val="32"/>
          <w:szCs w:val="32"/>
        </w:rPr>
        <w:t>第五条</w:t>
      </w:r>
      <w:r>
        <w:rPr>
          <w:rFonts w:eastAsia="仿宋_GB2312"/>
          <w:sz w:val="32"/>
          <w:szCs w:val="32"/>
        </w:rPr>
        <w:t xml:space="preserve"> 克拉玛依市</w:t>
      </w:r>
      <w:r>
        <w:rPr>
          <w:rFonts w:eastAsia="仿宋_GB2312"/>
          <w:kern w:val="0"/>
          <w:sz w:val="32"/>
          <w:szCs w:val="32"/>
        </w:rPr>
        <w:t>专利行政部门负责市专利奖评审、奖励的组织工作和日常管理。</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eastAsia="仿宋_GB2312"/>
          <w:sz w:val="32"/>
          <w:szCs w:val="32"/>
        </w:rPr>
      </w:pPr>
      <w:r>
        <w:rPr>
          <w:rFonts w:eastAsia="仿宋_GB2312"/>
          <w:sz w:val="32"/>
          <w:szCs w:val="32"/>
        </w:rPr>
        <w:t>市专利奖评奖相关事务性服务工作可委托专业机构承担。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eastAsia="仿宋_GB2312"/>
          <w:b/>
          <w:bCs/>
          <w:sz w:val="32"/>
          <w:szCs w:val="32"/>
        </w:rPr>
        <w:t xml:space="preserve">第六条 </w:t>
      </w:r>
      <w:r>
        <w:rPr>
          <w:rFonts w:eastAsia="仿宋_GB2312"/>
          <w:sz w:val="32"/>
          <w:szCs w:val="32"/>
        </w:rPr>
        <w:t>克拉玛依市专利奖每两年评审一次，设特等奖和一、二、三等奖四个等级，专利奖评选费用及奖励经费纳入财政预算，从专利奖励项目预算中列支。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市专利奖特等奖授予在我市技术创新领域取得重大突破，在专利技术实施推广中取得巨大经济、社会效益的单位或公民。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专利奖一、二、三等奖授予在运用科学技术知识研制新产品、新工艺、新材料及其系统中有重大发明或运用和转化的重大专利技术，参与国内外市场竞争发挥了重要作用，在促进本领域的技术进步与创新中有突出贡献，并取得显著经济效益、社会效益的单位或公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kern w:val="0"/>
          <w:sz w:val="32"/>
          <w:szCs w:val="32"/>
        </w:rPr>
      </w:pPr>
      <w:r>
        <w:rPr>
          <w:rFonts w:eastAsia="仿宋_GB2312"/>
          <w:sz w:val="32"/>
          <w:szCs w:val="32"/>
        </w:rPr>
        <w:t>市专利奖特等奖每项奖励10万元，一等奖项目每项奖励5万元，</w:t>
      </w:r>
      <w:r>
        <w:rPr>
          <w:rFonts w:eastAsia="仿宋_GB2312"/>
          <w:kern w:val="0"/>
          <w:sz w:val="32"/>
          <w:szCs w:val="32"/>
        </w:rPr>
        <w:t>二等奖项目</w:t>
      </w:r>
      <w:r>
        <w:rPr>
          <w:rFonts w:eastAsia="仿宋_GB2312"/>
          <w:sz w:val="32"/>
          <w:szCs w:val="32"/>
        </w:rPr>
        <w:t>每项奖励3万元，</w:t>
      </w:r>
      <w:r>
        <w:rPr>
          <w:rFonts w:eastAsia="仿宋_GB2312"/>
          <w:kern w:val="0"/>
          <w:sz w:val="32"/>
          <w:szCs w:val="32"/>
        </w:rPr>
        <w:t>三等奖项目</w:t>
      </w:r>
      <w:r>
        <w:rPr>
          <w:rFonts w:eastAsia="仿宋_GB2312"/>
          <w:sz w:val="32"/>
          <w:szCs w:val="32"/>
        </w:rPr>
        <w:t>每项奖励1万元。</w:t>
      </w:r>
    </w:p>
    <w:p>
      <w:pPr>
        <w:spacing w:line="560" w:lineRule="exact"/>
        <w:jc w:val="center"/>
        <w:rPr>
          <w:rFonts w:eastAsia="仿宋_GB2312"/>
          <w:b/>
          <w:sz w:val="32"/>
          <w:szCs w:val="32"/>
        </w:rPr>
      </w:pPr>
    </w:p>
    <w:p>
      <w:pPr>
        <w:spacing w:line="560" w:lineRule="exact"/>
        <w:jc w:val="center"/>
        <w:rPr>
          <w:rFonts w:eastAsia="仿宋_GB2312"/>
          <w:b/>
          <w:sz w:val="32"/>
          <w:szCs w:val="32"/>
        </w:rPr>
      </w:pPr>
      <w:r>
        <w:rPr>
          <w:rFonts w:eastAsia="仿宋_GB2312"/>
          <w:b/>
          <w:sz w:val="32"/>
          <w:szCs w:val="32"/>
        </w:rPr>
        <w:t>第二章  市专利奖申报条件</w:t>
      </w:r>
    </w:p>
    <w:p>
      <w:pPr>
        <w:spacing w:line="560" w:lineRule="exact"/>
        <w:ind w:firstLine="643" w:firstLineChars="200"/>
        <w:rPr>
          <w:rFonts w:eastAsia="仿宋_GB2312"/>
          <w:sz w:val="32"/>
          <w:szCs w:val="32"/>
        </w:rPr>
      </w:pPr>
      <w:r>
        <w:rPr>
          <w:rFonts w:eastAsia="仿宋_GB2312"/>
          <w:b/>
          <w:bCs/>
          <w:sz w:val="32"/>
          <w:szCs w:val="32"/>
        </w:rPr>
        <w:t xml:space="preserve">第七条 </w:t>
      </w:r>
      <w:r>
        <w:rPr>
          <w:rFonts w:eastAsia="仿宋_GB2312"/>
          <w:kern w:val="0"/>
          <w:sz w:val="32"/>
          <w:szCs w:val="32"/>
        </w:rPr>
        <w:t>申报市专利奖主体应当具备以下条件之一：</w:t>
      </w:r>
    </w:p>
    <w:p>
      <w:pPr>
        <w:spacing w:line="560" w:lineRule="exact"/>
        <w:rPr>
          <w:rFonts w:eastAsia="仿宋_GB2312"/>
          <w:sz w:val="32"/>
          <w:szCs w:val="32"/>
        </w:rPr>
      </w:pPr>
      <w:r>
        <w:rPr>
          <w:rFonts w:eastAsia="仿宋_GB2312"/>
          <w:sz w:val="32"/>
          <w:szCs w:val="32"/>
        </w:rPr>
        <w:t>　　（一）在克拉玛依市行政区域内登记注册、具备独立法人资格的专利权人或实施单位；</w:t>
      </w:r>
    </w:p>
    <w:p>
      <w:pPr>
        <w:spacing w:line="560" w:lineRule="exact"/>
        <w:rPr>
          <w:rFonts w:eastAsia="仿宋_GB2312"/>
          <w:sz w:val="32"/>
          <w:szCs w:val="32"/>
        </w:rPr>
      </w:pPr>
      <w:r>
        <w:rPr>
          <w:rFonts w:eastAsia="仿宋_GB2312"/>
          <w:sz w:val="32"/>
          <w:szCs w:val="32"/>
        </w:rPr>
        <w:t xml:space="preserve">    （二）专利权人出具书面同意报告，克拉玛依市行政区域内的实施单位；</w:t>
      </w:r>
    </w:p>
    <w:p>
      <w:pPr>
        <w:spacing w:line="560" w:lineRule="exact"/>
        <w:rPr>
          <w:rFonts w:eastAsia="仿宋_GB2312"/>
          <w:sz w:val="32"/>
          <w:szCs w:val="32"/>
        </w:rPr>
      </w:pPr>
      <w:r>
        <w:rPr>
          <w:rFonts w:eastAsia="仿宋_GB2312"/>
          <w:sz w:val="32"/>
          <w:szCs w:val="32"/>
        </w:rPr>
        <w:t>　  （三）克拉玛依市行政区域内常住的中国专利发明人；</w:t>
      </w:r>
    </w:p>
    <w:p>
      <w:pPr>
        <w:spacing w:line="560" w:lineRule="exact"/>
        <w:rPr>
          <w:rFonts w:eastAsia="仿宋_GB2312"/>
          <w:sz w:val="32"/>
          <w:szCs w:val="32"/>
        </w:rPr>
      </w:pPr>
      <w:r>
        <w:rPr>
          <w:rFonts w:eastAsia="仿宋_GB2312"/>
          <w:sz w:val="32"/>
          <w:szCs w:val="32"/>
        </w:rPr>
        <w:t xml:space="preserve"> 申报市专利奖的专利，应当满足以下条件：</w:t>
      </w:r>
    </w:p>
    <w:p>
      <w:pPr>
        <w:spacing w:line="560" w:lineRule="exact"/>
        <w:ind w:firstLine="640" w:firstLineChars="200"/>
        <w:rPr>
          <w:rFonts w:eastAsia="仿宋_GB2312"/>
          <w:sz w:val="32"/>
          <w:szCs w:val="32"/>
        </w:rPr>
      </w:pPr>
      <w:r>
        <w:rPr>
          <w:rFonts w:eastAsia="仿宋_GB2312"/>
          <w:sz w:val="32"/>
          <w:szCs w:val="32"/>
        </w:rPr>
        <w:t>1.</w:t>
      </w:r>
      <w:r>
        <w:rPr>
          <w:rFonts w:eastAsia="仿宋_GB2312"/>
          <w:kern w:val="0"/>
          <w:sz w:val="32"/>
          <w:szCs w:val="32"/>
        </w:rPr>
        <w:t>申报专利项目为</w:t>
      </w:r>
      <w:r>
        <w:rPr>
          <w:rFonts w:eastAsia="仿宋_GB2312"/>
          <w:sz w:val="32"/>
          <w:szCs w:val="32"/>
        </w:rPr>
        <w:t>已获得国家知识产权局授权（不含国防专利和保密专利），且该专利权有效、稳定；</w:t>
      </w:r>
    </w:p>
    <w:p>
      <w:pPr>
        <w:spacing w:line="560" w:lineRule="exact"/>
        <w:ind w:firstLine="640" w:firstLineChars="200"/>
        <w:rPr>
          <w:rFonts w:eastAsia="仿宋_GB2312"/>
          <w:sz w:val="32"/>
          <w:szCs w:val="32"/>
        </w:rPr>
      </w:pPr>
      <w:r>
        <w:rPr>
          <w:rFonts w:eastAsia="仿宋_GB2312"/>
          <w:sz w:val="32"/>
          <w:szCs w:val="32"/>
        </w:rPr>
        <w:t>2.该专利创新性强、技术水平高或者设计独特，实施后取得显著的经济效益或者社会效益；</w:t>
      </w:r>
    </w:p>
    <w:p>
      <w:pPr>
        <w:spacing w:line="560" w:lineRule="exact"/>
        <w:ind w:firstLine="640" w:firstLineChars="200"/>
        <w:rPr>
          <w:rFonts w:eastAsia="仿宋_GB2312"/>
          <w:sz w:val="32"/>
          <w:szCs w:val="32"/>
        </w:rPr>
      </w:pPr>
      <w:r>
        <w:rPr>
          <w:rFonts w:eastAsia="仿宋_GB2312"/>
          <w:sz w:val="32"/>
          <w:szCs w:val="32"/>
        </w:rPr>
        <w:t>3.该专利及其产品符合国家和自治区的产业及环保政策；</w:t>
      </w:r>
    </w:p>
    <w:p>
      <w:pPr>
        <w:spacing w:line="560" w:lineRule="exact"/>
        <w:ind w:firstLine="640" w:firstLineChars="200"/>
        <w:rPr>
          <w:rFonts w:eastAsia="仿宋_GB2312"/>
          <w:sz w:val="32"/>
          <w:szCs w:val="32"/>
        </w:rPr>
      </w:pPr>
      <w:r>
        <w:rPr>
          <w:rFonts w:eastAsia="仿宋_GB2312"/>
          <w:sz w:val="32"/>
          <w:szCs w:val="32"/>
        </w:rPr>
        <w:t>4.针对该专利有相对完善的保护措施；</w:t>
      </w:r>
    </w:p>
    <w:p>
      <w:pPr>
        <w:spacing w:line="560" w:lineRule="exact"/>
        <w:ind w:firstLine="640" w:firstLineChars="200"/>
        <w:rPr>
          <w:rFonts w:eastAsia="仿宋_GB2312"/>
          <w:sz w:val="32"/>
          <w:szCs w:val="32"/>
        </w:rPr>
      </w:pPr>
      <w:r>
        <w:rPr>
          <w:rFonts w:eastAsia="仿宋_GB2312"/>
          <w:sz w:val="32"/>
          <w:szCs w:val="32"/>
        </w:rPr>
        <w:t>5.不存在专利权属纠纷、专利权无效纠纷、发明人或者设计人纠纷；</w:t>
      </w:r>
    </w:p>
    <w:p>
      <w:pPr>
        <w:spacing w:line="560" w:lineRule="exact"/>
        <w:ind w:firstLine="640" w:firstLineChars="200"/>
        <w:rPr>
          <w:rFonts w:eastAsia="仿宋_GB2312"/>
          <w:sz w:val="32"/>
          <w:szCs w:val="32"/>
        </w:rPr>
      </w:pPr>
      <w:r>
        <w:rPr>
          <w:rFonts w:eastAsia="仿宋_GB2312"/>
          <w:sz w:val="32"/>
          <w:szCs w:val="32"/>
        </w:rPr>
        <w:t>6.该专利未获得国家科学技术奖、新疆维吾尔自治区科学技术进步奖、新疆维吾尔自治区专利奖、克拉玛依市科学技术进步奖和市专利奖；</w:t>
      </w:r>
    </w:p>
    <w:p>
      <w:pPr>
        <w:spacing w:line="560" w:lineRule="exact"/>
        <w:ind w:firstLine="640" w:firstLineChars="200"/>
        <w:rPr>
          <w:rFonts w:eastAsia="仿宋_GB2312"/>
          <w:sz w:val="32"/>
          <w:szCs w:val="32"/>
        </w:rPr>
      </w:pPr>
      <w:r>
        <w:rPr>
          <w:rFonts w:eastAsia="仿宋_GB2312"/>
          <w:sz w:val="32"/>
          <w:szCs w:val="32"/>
        </w:rPr>
        <w:t>7.该专利参加过2次市专利奖评选未获奖的，不能再次申报市专利奖。</w:t>
      </w:r>
    </w:p>
    <w:p>
      <w:pPr>
        <w:spacing w:line="560" w:lineRule="exact"/>
        <w:ind w:firstLine="643" w:firstLineChars="200"/>
        <w:rPr>
          <w:rFonts w:eastAsia="仿宋_GB2312"/>
          <w:sz w:val="32"/>
          <w:szCs w:val="32"/>
        </w:rPr>
      </w:pPr>
      <w:r>
        <w:rPr>
          <w:rFonts w:eastAsia="仿宋_GB2312"/>
          <w:b/>
          <w:bCs/>
          <w:sz w:val="32"/>
          <w:szCs w:val="32"/>
        </w:rPr>
        <w:t>第八条</w:t>
      </w:r>
      <w:r>
        <w:rPr>
          <w:rFonts w:eastAsia="仿宋_GB2312"/>
          <w:bCs/>
          <w:sz w:val="32"/>
          <w:szCs w:val="32"/>
        </w:rPr>
        <w:t xml:space="preserve"> </w:t>
      </w:r>
      <w:r>
        <w:rPr>
          <w:rFonts w:eastAsia="仿宋_GB2312"/>
          <w:sz w:val="32"/>
          <w:szCs w:val="32"/>
        </w:rPr>
        <w:t>法律、行政法规规定必须取得有关许可证，且直接关系到人身健康、公共安全和公共利益的项目，如动植物新品种、实验动物、食品、药品、基因工程技术和产品等，在未获得相关的许可证之前，不得申报市专利奖。</w:t>
      </w:r>
    </w:p>
    <w:p>
      <w:pPr>
        <w:spacing w:line="560" w:lineRule="exact"/>
        <w:ind w:firstLine="643" w:firstLineChars="200"/>
        <w:rPr>
          <w:rFonts w:eastAsia="仿宋_GB2312"/>
          <w:sz w:val="32"/>
          <w:szCs w:val="32"/>
        </w:rPr>
      </w:pPr>
      <w:r>
        <w:rPr>
          <w:rFonts w:eastAsia="仿宋_GB2312"/>
          <w:b/>
          <w:bCs/>
          <w:sz w:val="32"/>
          <w:szCs w:val="32"/>
        </w:rPr>
        <w:t>第九条</w:t>
      </w:r>
      <w:r>
        <w:rPr>
          <w:rFonts w:eastAsia="仿宋_GB2312"/>
          <w:sz w:val="32"/>
          <w:szCs w:val="32"/>
        </w:rPr>
        <w:t xml:space="preserve"> 专利权人为2个或2个以上的，申报市专利奖时所有专利权人要出具书面同意报告，并协商指定其中一个专利权人进行申报。</w:t>
      </w:r>
    </w:p>
    <w:p>
      <w:pPr>
        <w:spacing w:line="560" w:lineRule="exact"/>
        <w:ind w:firstLine="640" w:firstLineChars="200"/>
        <w:rPr>
          <w:rFonts w:eastAsia="仿宋_GB2312"/>
          <w:sz w:val="32"/>
          <w:szCs w:val="32"/>
        </w:rPr>
      </w:pPr>
    </w:p>
    <w:p>
      <w:pPr>
        <w:spacing w:line="560" w:lineRule="exact"/>
        <w:jc w:val="center"/>
        <w:rPr>
          <w:rFonts w:eastAsia="仿宋_GB2312"/>
          <w:b/>
          <w:sz w:val="32"/>
          <w:szCs w:val="32"/>
        </w:rPr>
      </w:pPr>
      <w:r>
        <w:rPr>
          <w:rFonts w:eastAsia="仿宋_GB2312"/>
          <w:b/>
          <w:sz w:val="32"/>
          <w:szCs w:val="32"/>
        </w:rPr>
        <w:t>第三章  市专利奖的申报</w:t>
      </w:r>
    </w:p>
    <w:p>
      <w:pPr>
        <w:spacing w:line="560" w:lineRule="exact"/>
        <w:ind w:firstLine="600"/>
        <w:rPr>
          <w:rFonts w:eastAsia="仿宋_GB2312"/>
          <w:sz w:val="32"/>
          <w:szCs w:val="32"/>
        </w:rPr>
      </w:pPr>
      <w:r>
        <w:rPr>
          <w:rFonts w:eastAsia="仿宋_GB2312"/>
          <w:b/>
          <w:bCs/>
          <w:sz w:val="32"/>
          <w:szCs w:val="32"/>
        </w:rPr>
        <w:t>第十条</w:t>
      </w:r>
      <w:r>
        <w:rPr>
          <w:rFonts w:eastAsia="仿宋_GB2312"/>
          <w:sz w:val="32"/>
          <w:szCs w:val="32"/>
        </w:rPr>
        <w:t xml:space="preserve"> 市专利行政部门每偶数年4月1日发布市专利奖候选专利征集通知，并开始集中受理专利项目，受理期限为30天。</w:t>
      </w:r>
    </w:p>
    <w:p>
      <w:pPr>
        <w:spacing w:line="560" w:lineRule="exact"/>
        <w:rPr>
          <w:rFonts w:eastAsia="仿宋_GB2312"/>
          <w:sz w:val="32"/>
          <w:szCs w:val="32"/>
        </w:rPr>
      </w:pPr>
      <w:r>
        <w:rPr>
          <w:rFonts w:eastAsia="仿宋_GB2312"/>
          <w:sz w:val="32"/>
          <w:szCs w:val="32"/>
        </w:rPr>
        <w:t>　　</w:t>
      </w:r>
      <w:r>
        <w:rPr>
          <w:rFonts w:eastAsia="仿宋_GB2312"/>
          <w:b/>
          <w:bCs/>
          <w:sz w:val="32"/>
          <w:szCs w:val="32"/>
        </w:rPr>
        <w:t>第十一条</w:t>
      </w:r>
      <w:r>
        <w:rPr>
          <w:rFonts w:eastAsia="仿宋_GB2312"/>
          <w:sz w:val="32"/>
          <w:szCs w:val="32"/>
        </w:rPr>
        <w:t xml:space="preserve"> 申报市专利奖的单位和个人应当填写《克拉玛依市专利奖申报书》，并提交以下材料：</w:t>
      </w:r>
    </w:p>
    <w:p>
      <w:pPr>
        <w:spacing w:line="560" w:lineRule="exact"/>
        <w:rPr>
          <w:rFonts w:eastAsia="仿宋_GB2312"/>
          <w:sz w:val="32"/>
          <w:szCs w:val="32"/>
        </w:rPr>
      </w:pPr>
      <w:r>
        <w:rPr>
          <w:rFonts w:eastAsia="仿宋_GB2312"/>
          <w:sz w:val="32"/>
          <w:szCs w:val="32"/>
        </w:rPr>
        <w:t>　　（一）申报单位的法人证明材料，申报单位为非专利权人的，还需提供对该专利享有合法实施权的材料；</w:t>
      </w:r>
    </w:p>
    <w:p>
      <w:pPr>
        <w:spacing w:line="560" w:lineRule="exact"/>
        <w:rPr>
          <w:rFonts w:eastAsia="仿宋_GB2312"/>
          <w:sz w:val="32"/>
          <w:szCs w:val="32"/>
        </w:rPr>
      </w:pPr>
      <w:r>
        <w:rPr>
          <w:rFonts w:eastAsia="仿宋_GB2312"/>
          <w:sz w:val="32"/>
          <w:szCs w:val="32"/>
        </w:rPr>
        <w:t>　　（二）申报人（公民）的有效证明材料；</w:t>
      </w:r>
    </w:p>
    <w:p>
      <w:pPr>
        <w:spacing w:line="560" w:lineRule="exact"/>
        <w:rPr>
          <w:rFonts w:eastAsia="仿宋_GB2312"/>
          <w:sz w:val="32"/>
          <w:szCs w:val="32"/>
        </w:rPr>
      </w:pPr>
      <w:r>
        <w:rPr>
          <w:rFonts w:eastAsia="仿宋_GB2312"/>
          <w:sz w:val="32"/>
          <w:szCs w:val="32"/>
        </w:rPr>
        <w:t>　　（三）专利权有效证明材料，实用新型专利和外观设计专利还需提供独立的专利权评价报告；</w:t>
      </w:r>
    </w:p>
    <w:p>
      <w:pPr>
        <w:spacing w:line="560" w:lineRule="exact"/>
        <w:rPr>
          <w:rFonts w:eastAsia="仿宋_GB2312"/>
          <w:sz w:val="32"/>
          <w:szCs w:val="32"/>
        </w:rPr>
      </w:pPr>
      <w:r>
        <w:rPr>
          <w:rFonts w:eastAsia="仿宋_GB2312"/>
          <w:sz w:val="32"/>
          <w:szCs w:val="32"/>
        </w:rPr>
        <w:t>　　（四）专利项目实施所产生的经济效益、社会效益或者生态效益的证明材料；</w:t>
      </w:r>
    </w:p>
    <w:p>
      <w:pPr>
        <w:shd w:val="clear" w:color="auto" w:fill="FFFFFF"/>
        <w:spacing w:line="560" w:lineRule="exact"/>
        <w:ind w:firstLine="640" w:firstLineChars="200"/>
        <w:rPr>
          <w:rFonts w:eastAsia="仿宋_GB2312"/>
          <w:kern w:val="0"/>
          <w:sz w:val="32"/>
          <w:szCs w:val="32"/>
        </w:rPr>
      </w:pPr>
      <w:r>
        <w:rPr>
          <w:rFonts w:eastAsia="仿宋_GB2312"/>
          <w:sz w:val="32"/>
          <w:szCs w:val="32"/>
        </w:rPr>
        <w:t>（五）针对该专利采取的保护措施说明，包括</w:t>
      </w:r>
      <w:r>
        <w:rPr>
          <w:rFonts w:eastAsia="仿宋_GB2312"/>
          <w:kern w:val="0"/>
          <w:sz w:val="32"/>
          <w:szCs w:val="32"/>
        </w:rPr>
        <w:t>该专利的专利权人对于该项专利权的采取的保护措施取得的成效；专利权属明确，法律状态稳定等材料。</w:t>
      </w:r>
    </w:p>
    <w:p>
      <w:pPr>
        <w:spacing w:line="560" w:lineRule="exact"/>
        <w:rPr>
          <w:rFonts w:eastAsia="仿宋_GB2312"/>
          <w:sz w:val="32"/>
          <w:szCs w:val="32"/>
        </w:rPr>
      </w:pPr>
      <w:r>
        <w:rPr>
          <w:rFonts w:eastAsia="仿宋_GB2312"/>
          <w:sz w:val="32"/>
          <w:szCs w:val="32"/>
        </w:rPr>
        <w:t>　　（六）外观设计专利产品的样品或者实物照片；</w:t>
      </w:r>
    </w:p>
    <w:p>
      <w:pPr>
        <w:spacing w:line="560" w:lineRule="exact"/>
        <w:rPr>
          <w:rFonts w:eastAsia="仿宋_GB2312"/>
          <w:sz w:val="32"/>
          <w:szCs w:val="32"/>
        </w:rPr>
      </w:pPr>
      <w:r>
        <w:rPr>
          <w:rFonts w:eastAsia="仿宋_GB2312"/>
          <w:sz w:val="32"/>
          <w:szCs w:val="32"/>
        </w:rPr>
        <w:t>　　（七）特殊产品的市场准入证明；</w:t>
      </w:r>
    </w:p>
    <w:p>
      <w:pPr>
        <w:spacing w:line="560" w:lineRule="exact"/>
        <w:rPr>
          <w:rFonts w:eastAsia="仿宋_GB2312"/>
          <w:sz w:val="32"/>
          <w:szCs w:val="32"/>
        </w:rPr>
      </w:pPr>
      <w:r>
        <w:rPr>
          <w:rFonts w:eastAsia="仿宋_GB2312"/>
          <w:sz w:val="32"/>
          <w:szCs w:val="32"/>
        </w:rPr>
        <w:t>　　（八）其他有关材料。</w:t>
      </w:r>
    </w:p>
    <w:p>
      <w:pPr>
        <w:spacing w:line="560" w:lineRule="exact"/>
        <w:ind w:firstLine="660"/>
        <w:rPr>
          <w:rFonts w:eastAsia="仿宋_GB2312"/>
          <w:sz w:val="32"/>
          <w:szCs w:val="32"/>
        </w:rPr>
      </w:pPr>
      <w:r>
        <w:rPr>
          <w:rFonts w:eastAsia="仿宋_GB2312"/>
          <w:b/>
          <w:bCs/>
          <w:sz w:val="32"/>
          <w:szCs w:val="32"/>
        </w:rPr>
        <w:t>第十二条</w:t>
      </w:r>
      <w:r>
        <w:rPr>
          <w:rFonts w:eastAsia="仿宋_GB2312"/>
          <w:sz w:val="32"/>
          <w:szCs w:val="32"/>
        </w:rPr>
        <w:t xml:space="preserve"> 市专利行政部门组织对市专利奖候选专利申报材料及证明材料进行形式审查，不符合形式审查规定的，申报单位应在接到补正通知之日起10个工作日内补正，逾期没有补正或者经补正仍不符合要求的，不得参加后续评选。</w:t>
      </w:r>
    </w:p>
    <w:p>
      <w:pPr>
        <w:spacing w:line="560" w:lineRule="exact"/>
        <w:ind w:firstLine="660"/>
        <w:rPr>
          <w:rFonts w:eastAsia="仿宋_GB2312"/>
          <w:sz w:val="32"/>
          <w:szCs w:val="32"/>
        </w:rPr>
      </w:pPr>
      <w:r>
        <w:rPr>
          <w:rFonts w:eastAsia="仿宋_GB2312"/>
          <w:b/>
          <w:bCs/>
          <w:sz w:val="32"/>
          <w:szCs w:val="32"/>
        </w:rPr>
        <w:t>第十三条</w:t>
      </w:r>
      <w:r>
        <w:rPr>
          <w:rFonts w:eastAsia="仿宋_GB2312"/>
          <w:sz w:val="32"/>
          <w:szCs w:val="32"/>
        </w:rPr>
        <w:t xml:space="preserve"> 市专利行政部门负责将形式审查合格的专利奖候选专利相关信息进行社会公示，公示期为5个工作日，未进行公示的专利项目不得参与评选。</w:t>
      </w:r>
    </w:p>
    <w:p>
      <w:pPr>
        <w:spacing w:line="560" w:lineRule="exact"/>
        <w:ind w:firstLine="660"/>
        <w:rPr>
          <w:rFonts w:eastAsia="仿宋_GB2312"/>
          <w:sz w:val="32"/>
          <w:szCs w:val="32"/>
        </w:rPr>
      </w:pPr>
    </w:p>
    <w:p>
      <w:pPr>
        <w:spacing w:line="560" w:lineRule="exact"/>
        <w:jc w:val="center"/>
        <w:rPr>
          <w:rFonts w:eastAsia="仿宋_GB2312"/>
          <w:b/>
          <w:sz w:val="32"/>
          <w:szCs w:val="32"/>
        </w:rPr>
      </w:pPr>
      <w:r>
        <w:rPr>
          <w:rFonts w:eastAsia="仿宋_GB2312"/>
          <w:b/>
          <w:sz w:val="32"/>
          <w:szCs w:val="32"/>
        </w:rPr>
        <w:t>第四章  专利奖评选及奖励</w:t>
      </w:r>
    </w:p>
    <w:p>
      <w:pPr>
        <w:spacing w:line="560" w:lineRule="exact"/>
        <w:rPr>
          <w:rFonts w:eastAsia="仿宋_GB2312"/>
          <w:sz w:val="32"/>
          <w:szCs w:val="32"/>
        </w:rPr>
      </w:pPr>
      <w:r>
        <w:rPr>
          <w:rFonts w:eastAsia="仿宋_GB2312"/>
          <w:sz w:val="32"/>
          <w:szCs w:val="32"/>
        </w:rPr>
        <w:t>　　</w:t>
      </w:r>
      <w:r>
        <w:rPr>
          <w:rFonts w:eastAsia="仿宋_GB2312"/>
          <w:b/>
          <w:bCs/>
          <w:sz w:val="32"/>
          <w:szCs w:val="32"/>
        </w:rPr>
        <w:t>第十四条</w:t>
      </w:r>
      <w:r>
        <w:rPr>
          <w:rFonts w:eastAsia="仿宋_GB2312"/>
          <w:sz w:val="32"/>
          <w:szCs w:val="32"/>
        </w:rPr>
        <w:t xml:space="preserve"> 经形式审查符合要求的，市专利行政部门根据工作需要，聘请有关方面的专家、学者组成专业评审组，按专业组织专家进行专业组评审。</w:t>
      </w:r>
    </w:p>
    <w:p>
      <w:pPr>
        <w:spacing w:line="560" w:lineRule="exact"/>
        <w:rPr>
          <w:rFonts w:eastAsia="仿宋_GB2312"/>
          <w:sz w:val="32"/>
          <w:szCs w:val="32"/>
        </w:rPr>
      </w:pPr>
      <w:r>
        <w:rPr>
          <w:rFonts w:eastAsia="仿宋_GB2312"/>
          <w:sz w:val="32"/>
          <w:szCs w:val="32"/>
        </w:rPr>
        <w:t>　　</w:t>
      </w:r>
      <w:r>
        <w:rPr>
          <w:rFonts w:eastAsia="仿宋_GB2312"/>
          <w:b/>
          <w:bCs/>
          <w:sz w:val="32"/>
          <w:szCs w:val="32"/>
        </w:rPr>
        <w:t>第十五条</w:t>
      </w:r>
      <w:r>
        <w:rPr>
          <w:rFonts w:eastAsia="仿宋_GB2312"/>
          <w:sz w:val="32"/>
          <w:szCs w:val="32"/>
        </w:rPr>
        <w:t xml:space="preserve"> 市专利行政部门汇总评审意见，提出获奖专利和奖励等级的建议，提交克拉玛依市知识产权工作领导小组审议。</w:t>
      </w:r>
    </w:p>
    <w:p>
      <w:pPr>
        <w:spacing w:line="560" w:lineRule="exact"/>
        <w:ind w:firstLine="643" w:firstLineChars="200"/>
        <w:rPr>
          <w:rFonts w:eastAsia="仿宋_GB2312"/>
          <w:sz w:val="32"/>
          <w:szCs w:val="32"/>
        </w:rPr>
      </w:pPr>
      <w:r>
        <w:rPr>
          <w:rFonts w:eastAsia="仿宋_GB2312"/>
          <w:b/>
          <w:bCs/>
          <w:sz w:val="32"/>
          <w:szCs w:val="32"/>
        </w:rPr>
        <w:t>第十六条</w:t>
      </w:r>
      <w:r>
        <w:rPr>
          <w:rFonts w:eastAsia="仿宋_GB2312"/>
          <w:sz w:val="32"/>
          <w:szCs w:val="32"/>
        </w:rPr>
        <w:t xml:space="preserve"> 在申报之后、评审结果公布之前，若出现专利权属纠纷、被请求宣告专利权无效的情形，确实影响该专利法律状态的，该专利项目不得继续参与评奖。</w:t>
      </w:r>
    </w:p>
    <w:p>
      <w:pPr>
        <w:spacing w:line="560" w:lineRule="exact"/>
        <w:ind w:firstLine="600"/>
        <w:rPr>
          <w:rFonts w:eastAsia="仿宋_GB2312"/>
          <w:sz w:val="32"/>
          <w:szCs w:val="32"/>
        </w:rPr>
      </w:pPr>
      <w:r>
        <w:rPr>
          <w:rFonts w:eastAsia="仿宋_GB2312"/>
          <w:b/>
          <w:bCs/>
          <w:kern w:val="0"/>
          <w:sz w:val="32"/>
          <w:szCs w:val="32"/>
        </w:rPr>
        <w:t>第十七条</w:t>
      </w:r>
      <w:r>
        <w:rPr>
          <w:rFonts w:eastAsia="仿宋_GB2312"/>
          <w:kern w:val="0"/>
          <w:sz w:val="32"/>
          <w:szCs w:val="32"/>
        </w:rPr>
        <w:t xml:space="preserve"> 经市知识产权工作领导小组审议的评奖建议提交市政府常务会最终审定后，由</w:t>
      </w:r>
      <w:r>
        <w:rPr>
          <w:rFonts w:eastAsia="仿宋_GB2312"/>
          <w:sz w:val="32"/>
          <w:szCs w:val="32"/>
        </w:rPr>
        <w:t>市专利行政部门向社会公告，接受社会监督，公告期为7天。</w:t>
      </w:r>
    </w:p>
    <w:p>
      <w:pPr>
        <w:spacing w:line="560" w:lineRule="exact"/>
        <w:rPr>
          <w:rFonts w:eastAsia="仿宋_GB2312"/>
          <w:sz w:val="32"/>
          <w:szCs w:val="32"/>
        </w:rPr>
      </w:pPr>
      <w:r>
        <w:rPr>
          <w:rFonts w:eastAsia="仿宋_GB2312"/>
          <w:sz w:val="32"/>
          <w:szCs w:val="32"/>
        </w:rPr>
        <w:t>　　</w:t>
      </w:r>
      <w:r>
        <w:rPr>
          <w:rFonts w:eastAsia="仿宋_GB2312"/>
          <w:b/>
          <w:bCs/>
          <w:sz w:val="32"/>
          <w:szCs w:val="32"/>
        </w:rPr>
        <w:t>第十八条</w:t>
      </w:r>
      <w:r>
        <w:rPr>
          <w:rFonts w:eastAsia="仿宋_GB2312"/>
          <w:sz w:val="32"/>
          <w:szCs w:val="32"/>
        </w:rPr>
        <w:t xml:space="preserve"> 对市专利奖候选人、候选专利项目及其单位有异议的单位和个人，应当在公告期内以书面形式向市专利行政部门提出异议，内容应包括异议人身份信息、异议请求及异议的事实理由和法律依据。</w:t>
      </w:r>
    </w:p>
    <w:p>
      <w:pPr>
        <w:spacing w:line="560" w:lineRule="exact"/>
        <w:rPr>
          <w:rFonts w:eastAsia="仿宋_GB2312"/>
          <w:sz w:val="32"/>
          <w:szCs w:val="32"/>
        </w:rPr>
      </w:pPr>
      <w:r>
        <w:rPr>
          <w:rFonts w:eastAsia="仿宋_GB2312"/>
          <w:sz w:val="32"/>
          <w:szCs w:val="32"/>
        </w:rPr>
        <w:t>　　市专利奖申报人接到异议书后，在5个工作日内提出书面答辩，市专利行政部门组织专家对异议内容进行调查、核实，必要时组织听证审查，并将处理结果书面通知异议方、申报方。逾期不予提供书面答辩的视为默认异议。</w:t>
      </w:r>
    </w:p>
    <w:p>
      <w:pPr>
        <w:spacing w:line="560" w:lineRule="exact"/>
        <w:ind w:firstLine="600"/>
        <w:rPr>
          <w:rFonts w:eastAsia="仿宋_GB2312"/>
          <w:sz w:val="32"/>
          <w:szCs w:val="32"/>
        </w:rPr>
      </w:pPr>
      <w:r>
        <w:rPr>
          <w:rFonts w:eastAsia="仿宋_GB2312"/>
          <w:b/>
          <w:bCs/>
          <w:sz w:val="32"/>
          <w:szCs w:val="32"/>
        </w:rPr>
        <w:t>第十九条</w:t>
      </w:r>
      <w:r>
        <w:rPr>
          <w:rFonts w:eastAsia="仿宋_GB2312"/>
          <w:sz w:val="32"/>
          <w:szCs w:val="32"/>
        </w:rPr>
        <w:t xml:space="preserve"> 经公告无异议或经调查处理后已无异议的，经市专利行政部门复核后，报市人民政府批准颁奖。</w:t>
      </w:r>
      <w:bookmarkStart w:id="0" w:name="OLE_LINK1"/>
    </w:p>
    <w:p>
      <w:pPr>
        <w:spacing w:line="560" w:lineRule="exact"/>
        <w:ind w:firstLine="600"/>
        <w:rPr>
          <w:rFonts w:eastAsia="仿宋_GB2312"/>
          <w:sz w:val="32"/>
          <w:szCs w:val="32"/>
        </w:rPr>
      </w:pPr>
      <w:r>
        <w:rPr>
          <w:rFonts w:eastAsia="仿宋_GB2312"/>
          <w:b/>
          <w:bCs/>
          <w:sz w:val="32"/>
          <w:szCs w:val="32"/>
        </w:rPr>
        <w:t>第二十条</w:t>
      </w:r>
      <w:r>
        <w:rPr>
          <w:rFonts w:eastAsia="仿宋_GB2312"/>
          <w:sz w:val="32"/>
          <w:szCs w:val="32"/>
        </w:rPr>
        <w:t xml:space="preserve"> 我市专利获得中国专利奖金奖和优秀奖的，分别按特等奖和一等奖的标准给予奖励；获中国专利奖外观设计金奖和优秀奖的，分别按一等奖和二等奖的标准给予奖励。</w:t>
      </w:r>
      <w:bookmarkEnd w:id="0"/>
    </w:p>
    <w:p>
      <w:pPr>
        <w:spacing w:line="560" w:lineRule="exact"/>
        <w:jc w:val="center"/>
        <w:rPr>
          <w:rFonts w:eastAsia="仿宋_GB2312"/>
          <w:b/>
          <w:sz w:val="32"/>
          <w:szCs w:val="32"/>
        </w:rPr>
      </w:pPr>
    </w:p>
    <w:p>
      <w:pPr>
        <w:spacing w:line="560" w:lineRule="exact"/>
        <w:jc w:val="center"/>
        <w:rPr>
          <w:rFonts w:eastAsia="仿宋_GB2312"/>
          <w:b/>
          <w:sz w:val="32"/>
          <w:szCs w:val="32"/>
        </w:rPr>
      </w:pPr>
      <w:r>
        <w:rPr>
          <w:rFonts w:eastAsia="仿宋_GB2312"/>
          <w:b/>
          <w:sz w:val="32"/>
          <w:szCs w:val="32"/>
        </w:rPr>
        <w:t>第五章  责任追究</w:t>
      </w:r>
    </w:p>
    <w:p>
      <w:pPr>
        <w:spacing w:line="560" w:lineRule="exact"/>
        <w:ind w:firstLine="630" w:firstLineChars="196"/>
        <w:rPr>
          <w:rFonts w:eastAsia="仿宋_GB2312"/>
          <w:sz w:val="32"/>
          <w:szCs w:val="32"/>
        </w:rPr>
      </w:pPr>
      <w:r>
        <w:rPr>
          <w:rFonts w:eastAsia="仿宋_GB2312"/>
          <w:b/>
          <w:bCs/>
          <w:sz w:val="32"/>
          <w:szCs w:val="32"/>
        </w:rPr>
        <w:t>第二十一条</w:t>
      </w:r>
      <w:r>
        <w:rPr>
          <w:rFonts w:eastAsia="仿宋_GB2312"/>
          <w:sz w:val="32"/>
          <w:szCs w:val="32"/>
        </w:rPr>
        <w:t xml:space="preserve"> 受委托的专业机构人员和专业组评审成员有以下应当回避的情形不及时报告或者有意隐瞒的，造成不良后果的，建议其所在单位或主管部门给予相应的处分，构成犯罪的，移交司法部门处理：</w:t>
      </w:r>
    </w:p>
    <w:p>
      <w:pPr>
        <w:spacing w:line="560" w:lineRule="exact"/>
        <w:rPr>
          <w:rFonts w:eastAsia="仿宋_GB2312"/>
          <w:sz w:val="32"/>
          <w:szCs w:val="32"/>
        </w:rPr>
      </w:pPr>
      <w:r>
        <w:rPr>
          <w:rFonts w:eastAsia="仿宋_GB2312"/>
          <w:sz w:val="32"/>
          <w:szCs w:val="32"/>
        </w:rPr>
        <w:t>　　（一）是申报专利项目的合作人；</w:t>
      </w:r>
    </w:p>
    <w:p>
      <w:pPr>
        <w:spacing w:line="560" w:lineRule="exact"/>
        <w:rPr>
          <w:rFonts w:eastAsia="仿宋_GB2312"/>
          <w:sz w:val="32"/>
          <w:szCs w:val="32"/>
        </w:rPr>
      </w:pPr>
      <w:r>
        <w:rPr>
          <w:rFonts w:eastAsia="仿宋_GB2312"/>
          <w:sz w:val="32"/>
          <w:szCs w:val="32"/>
        </w:rPr>
        <w:t>　　（二）是申报专利权人的近亲属或直接姻亲关系；</w:t>
      </w:r>
    </w:p>
    <w:p>
      <w:pPr>
        <w:spacing w:line="560" w:lineRule="exact"/>
        <w:rPr>
          <w:rFonts w:eastAsia="仿宋_GB2312"/>
          <w:sz w:val="32"/>
          <w:szCs w:val="32"/>
        </w:rPr>
      </w:pPr>
      <w:r>
        <w:rPr>
          <w:rFonts w:eastAsia="仿宋_GB2312"/>
          <w:sz w:val="32"/>
          <w:szCs w:val="32"/>
        </w:rPr>
        <w:t>　　（三）与申报专利权人存在利害关系；</w:t>
      </w:r>
    </w:p>
    <w:p>
      <w:pPr>
        <w:spacing w:line="560" w:lineRule="exact"/>
        <w:rPr>
          <w:rFonts w:eastAsia="仿宋_GB2312"/>
          <w:sz w:val="32"/>
          <w:szCs w:val="32"/>
        </w:rPr>
      </w:pPr>
      <w:r>
        <w:rPr>
          <w:rFonts w:eastAsia="仿宋_GB2312"/>
          <w:sz w:val="32"/>
          <w:szCs w:val="32"/>
        </w:rPr>
        <w:t>　　（四）其他可能影响评审公正性的情形。</w:t>
      </w:r>
    </w:p>
    <w:p>
      <w:pPr>
        <w:spacing w:line="560" w:lineRule="exact"/>
        <w:rPr>
          <w:rFonts w:eastAsia="仿宋_GB2312"/>
          <w:sz w:val="32"/>
          <w:szCs w:val="32"/>
        </w:rPr>
      </w:pPr>
      <w:r>
        <w:rPr>
          <w:rFonts w:eastAsia="仿宋_GB2312"/>
          <w:sz w:val="32"/>
          <w:szCs w:val="32"/>
        </w:rPr>
        <w:t>　　</w:t>
      </w:r>
      <w:r>
        <w:rPr>
          <w:rFonts w:eastAsia="仿宋_GB2312"/>
          <w:b/>
          <w:bCs/>
          <w:sz w:val="32"/>
          <w:szCs w:val="32"/>
        </w:rPr>
        <w:t>第二十二条</w:t>
      </w:r>
      <w:r>
        <w:rPr>
          <w:rFonts w:eastAsia="仿宋_GB2312"/>
          <w:sz w:val="32"/>
          <w:szCs w:val="32"/>
        </w:rPr>
        <w:t xml:space="preserve"> 申报单位或个人提供虚假数据、材料，或者剽窃、侵占他人的专利技术成果，或者以不正当手段骗取专利奖的，报市人民政府批准撤销奖励，追回奖金和证书，并记入市诚信体系档案，且连续3届不得参与市专利奖申报。</w:t>
      </w:r>
    </w:p>
    <w:p>
      <w:pPr>
        <w:spacing w:line="560" w:lineRule="exact"/>
        <w:ind w:firstLine="645"/>
        <w:rPr>
          <w:rFonts w:eastAsia="仿宋_GB2312"/>
          <w:sz w:val="32"/>
          <w:szCs w:val="32"/>
        </w:rPr>
      </w:pPr>
      <w:r>
        <w:rPr>
          <w:rFonts w:eastAsia="仿宋_GB2312"/>
          <w:b/>
          <w:bCs/>
          <w:sz w:val="32"/>
          <w:szCs w:val="32"/>
        </w:rPr>
        <w:t>第二十三条</w:t>
      </w:r>
      <w:r>
        <w:rPr>
          <w:rFonts w:eastAsia="仿宋_GB2312"/>
          <w:sz w:val="32"/>
          <w:szCs w:val="32"/>
        </w:rPr>
        <w:t xml:space="preserve"> 参与市专利奖评审活动和有关工作的人员，在评审活动中弄虚作假、徇私舞弊的，由有关主管部门依法给予处分。</w:t>
      </w:r>
    </w:p>
    <w:p>
      <w:pPr>
        <w:spacing w:line="560" w:lineRule="exact"/>
        <w:ind w:firstLine="645"/>
        <w:rPr>
          <w:rFonts w:eastAsia="仿宋_GB2312"/>
          <w:sz w:val="32"/>
          <w:szCs w:val="32"/>
        </w:rPr>
      </w:pPr>
    </w:p>
    <w:p>
      <w:pPr>
        <w:spacing w:line="560" w:lineRule="exact"/>
        <w:jc w:val="center"/>
        <w:rPr>
          <w:rFonts w:eastAsia="仿宋_GB2312"/>
          <w:b/>
          <w:sz w:val="32"/>
          <w:szCs w:val="32"/>
        </w:rPr>
      </w:pPr>
      <w:r>
        <w:rPr>
          <w:rFonts w:eastAsia="仿宋_GB2312"/>
          <w:b/>
          <w:sz w:val="32"/>
          <w:szCs w:val="32"/>
        </w:rPr>
        <w:t>第六章  附则</w:t>
      </w:r>
    </w:p>
    <w:p>
      <w:pPr>
        <w:spacing w:line="560" w:lineRule="exact"/>
        <w:rPr>
          <w:rFonts w:eastAsia="仿宋_GB2312"/>
          <w:sz w:val="32"/>
          <w:szCs w:val="32"/>
        </w:rPr>
      </w:pPr>
      <w:r>
        <w:rPr>
          <w:rFonts w:eastAsia="仿宋_GB2312"/>
          <w:sz w:val="32"/>
          <w:szCs w:val="32"/>
        </w:rPr>
        <w:t>　　</w:t>
      </w:r>
      <w:r>
        <w:rPr>
          <w:rFonts w:eastAsia="仿宋_GB2312"/>
          <w:b/>
          <w:bCs/>
          <w:sz w:val="32"/>
          <w:szCs w:val="32"/>
        </w:rPr>
        <w:t>第二十四条</w:t>
      </w:r>
      <w:r>
        <w:rPr>
          <w:rFonts w:eastAsia="仿宋_GB2312"/>
          <w:sz w:val="32"/>
          <w:szCs w:val="32"/>
        </w:rPr>
        <w:t xml:space="preserve"> 本办法由市专利行政部门负责解释。</w:t>
      </w:r>
    </w:p>
    <w:p>
      <w:pPr>
        <w:spacing w:line="560" w:lineRule="exact"/>
        <w:rPr>
          <w:rFonts w:eastAsia="仿宋_GB2312"/>
          <w:sz w:val="32"/>
          <w:szCs w:val="32"/>
        </w:rPr>
      </w:pPr>
      <w:r>
        <w:rPr>
          <w:rFonts w:eastAsia="仿宋_GB2312"/>
          <w:sz w:val="32"/>
          <w:szCs w:val="32"/>
        </w:rPr>
        <w:t>　　</w:t>
      </w:r>
      <w:r>
        <w:rPr>
          <w:rFonts w:eastAsia="仿宋_GB2312"/>
          <w:b/>
          <w:bCs/>
          <w:sz w:val="32"/>
          <w:szCs w:val="32"/>
        </w:rPr>
        <w:t>第二十五条</w:t>
      </w:r>
      <w:r>
        <w:rPr>
          <w:rFonts w:eastAsia="仿宋_GB2312"/>
          <w:sz w:val="32"/>
          <w:szCs w:val="32"/>
        </w:rPr>
        <w:t xml:space="preserve"> 本办法自发布之日起试行。</w:t>
      </w:r>
    </w:p>
    <w:p/>
    <w:p/>
    <w:p/>
    <w:p/>
    <w:p/>
    <w:p/>
    <w:p/>
    <w:p/>
    <w:p/>
    <w:p/>
    <w:p/>
    <w:p/>
    <w:p/>
    <w:p/>
    <w:p/>
    <w:p/>
    <w:p/>
    <w:p/>
    <w:p/>
    <w:p/>
    <w:p/>
    <w:p/>
    <w:p/>
    <w:p/>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rPr>
          <w:sz w:val="28"/>
          <w:szCs w:val="28"/>
        </w:rPr>
      </w:pPr>
    </w:p>
    <w:p>
      <w:pPr>
        <w:spacing w:line="240" w:lineRule="exact"/>
        <w:rPr>
          <w:sz w:val="28"/>
          <w:szCs w:val="28"/>
        </w:rPr>
      </w:pPr>
    </w:p>
    <w:p>
      <w:pPr>
        <w:spacing w:line="240" w:lineRule="exact"/>
        <w:ind w:right="-58"/>
        <w:jc w:val="left"/>
        <w:rPr>
          <w:sz w:val="28"/>
          <w:szCs w:val="28"/>
        </w:rPr>
      </w:pPr>
    </w:p>
    <w:p>
      <w:pPr>
        <w:pBdr>
          <w:top w:val="single" w:color="auto" w:sz="6" w:space="1"/>
          <w:bottom w:val="single" w:color="auto" w:sz="6" w:space="1"/>
        </w:pBdr>
        <w:ind w:right="-58"/>
        <w:jc w:val="left"/>
      </w:pPr>
      <w:r>
        <w:rPr>
          <w:sz w:val="28"/>
          <w:szCs w:val="28"/>
        </w:rPr>
        <w:t xml:space="preserve">  </w:t>
      </w:r>
      <w:r>
        <w:rPr>
          <w:rFonts w:eastAsia="仿宋_GB2312"/>
          <w:sz w:val="28"/>
          <w:szCs w:val="28"/>
        </w:rPr>
        <w:t xml:space="preserve">克拉玛依市人民政府办公室               2019年10月12日印发  </w:t>
      </w:r>
    </w:p>
    <w:sectPr>
      <w:footerReference r:id="rId3" w:type="default"/>
      <w:pgSz w:w="11906" w:h="16838"/>
      <w:pgMar w:top="2041" w:right="1531" w:bottom="2041"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sz w:val="28"/>
      </w:rPr>
    </w:pPr>
    <w:r>
      <w:rPr>
        <w:rStyle w:val="9"/>
        <w:sz w:val="28"/>
      </w:rPr>
      <w:t>—</w:t>
    </w:r>
    <w:r>
      <w:rPr>
        <w:rStyle w:val="9"/>
        <w:sz w:val="28"/>
      </w:rPr>
      <w:fldChar w:fldCharType="begin"/>
    </w:r>
    <w:r>
      <w:rPr>
        <w:rStyle w:val="9"/>
        <w:sz w:val="28"/>
      </w:rPr>
      <w:instrText xml:space="preserve">PAGE  </w:instrText>
    </w:r>
    <w:r>
      <w:rPr>
        <w:rStyle w:val="9"/>
        <w:sz w:val="28"/>
      </w:rPr>
      <w:fldChar w:fldCharType="separate"/>
    </w:r>
    <w:r>
      <w:rPr>
        <w:rStyle w:val="9"/>
        <w:sz w:val="28"/>
      </w:rPr>
      <w:t>3</w:t>
    </w:r>
    <w:r>
      <w:rPr>
        <w:rStyle w:val="9"/>
        <w:sz w:val="28"/>
      </w:rPr>
      <w:fldChar w:fldCharType="end"/>
    </w:r>
    <w:r>
      <w:rPr>
        <w:rStyle w:val="9"/>
        <w:sz w:val="28"/>
      </w:rPr>
      <w:t>—</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ZjhlNzQ2NDk4NmY4Y2FhODM5Y2U3OTY1ZTNhMmMifQ=="/>
  </w:docVars>
  <w:rsids>
    <w:rsidRoot w:val="119473D4"/>
    <w:rsid w:val="0020286E"/>
    <w:rsid w:val="005D552F"/>
    <w:rsid w:val="007B5062"/>
    <w:rsid w:val="00932174"/>
    <w:rsid w:val="00AB6B00"/>
    <w:rsid w:val="01312F7C"/>
    <w:rsid w:val="015F1D36"/>
    <w:rsid w:val="01BA4E5F"/>
    <w:rsid w:val="0234114C"/>
    <w:rsid w:val="028B1108"/>
    <w:rsid w:val="02F23D82"/>
    <w:rsid w:val="035F678A"/>
    <w:rsid w:val="03902B96"/>
    <w:rsid w:val="03B17F30"/>
    <w:rsid w:val="041144A0"/>
    <w:rsid w:val="056D2F0C"/>
    <w:rsid w:val="059E5907"/>
    <w:rsid w:val="059F26F5"/>
    <w:rsid w:val="06247D6F"/>
    <w:rsid w:val="067B5088"/>
    <w:rsid w:val="06D72F90"/>
    <w:rsid w:val="06F61899"/>
    <w:rsid w:val="07BD2705"/>
    <w:rsid w:val="07F77BDB"/>
    <w:rsid w:val="08436BAF"/>
    <w:rsid w:val="0845386A"/>
    <w:rsid w:val="08EF2CC2"/>
    <w:rsid w:val="08F22658"/>
    <w:rsid w:val="08FD3AD1"/>
    <w:rsid w:val="090E1990"/>
    <w:rsid w:val="092E4505"/>
    <w:rsid w:val="097E0B69"/>
    <w:rsid w:val="098F6C44"/>
    <w:rsid w:val="09E70AF0"/>
    <w:rsid w:val="09ED4D69"/>
    <w:rsid w:val="0A1742F3"/>
    <w:rsid w:val="0A1A6497"/>
    <w:rsid w:val="0A5E6ECC"/>
    <w:rsid w:val="0AD92C0D"/>
    <w:rsid w:val="0AFC2878"/>
    <w:rsid w:val="0B3D46C2"/>
    <w:rsid w:val="0B7F0CC9"/>
    <w:rsid w:val="0BB902E9"/>
    <w:rsid w:val="0BF903B4"/>
    <w:rsid w:val="0C2938BD"/>
    <w:rsid w:val="0CBA4102"/>
    <w:rsid w:val="0D293C21"/>
    <w:rsid w:val="0D9E166E"/>
    <w:rsid w:val="0DF16B71"/>
    <w:rsid w:val="0E7376AB"/>
    <w:rsid w:val="0EC91F6B"/>
    <w:rsid w:val="0ED472FB"/>
    <w:rsid w:val="0F070660"/>
    <w:rsid w:val="0F3342F4"/>
    <w:rsid w:val="0F3D2826"/>
    <w:rsid w:val="0F6162F2"/>
    <w:rsid w:val="1013470F"/>
    <w:rsid w:val="10676123"/>
    <w:rsid w:val="106F2D58"/>
    <w:rsid w:val="10711CA8"/>
    <w:rsid w:val="108968B0"/>
    <w:rsid w:val="10906B17"/>
    <w:rsid w:val="1105634D"/>
    <w:rsid w:val="110B5C4E"/>
    <w:rsid w:val="11425D23"/>
    <w:rsid w:val="119473D4"/>
    <w:rsid w:val="11A86307"/>
    <w:rsid w:val="11DF446F"/>
    <w:rsid w:val="122059BF"/>
    <w:rsid w:val="1225394F"/>
    <w:rsid w:val="123C208E"/>
    <w:rsid w:val="12476EFC"/>
    <w:rsid w:val="125636BC"/>
    <w:rsid w:val="12AE0F68"/>
    <w:rsid w:val="13153B83"/>
    <w:rsid w:val="13204843"/>
    <w:rsid w:val="13212A0C"/>
    <w:rsid w:val="137E0B30"/>
    <w:rsid w:val="139700B1"/>
    <w:rsid w:val="13D5719F"/>
    <w:rsid w:val="13D936BD"/>
    <w:rsid w:val="13DF70F9"/>
    <w:rsid w:val="13FC480A"/>
    <w:rsid w:val="14290E11"/>
    <w:rsid w:val="142A0CDC"/>
    <w:rsid w:val="146E4B7E"/>
    <w:rsid w:val="14D90ED0"/>
    <w:rsid w:val="15003189"/>
    <w:rsid w:val="150427FE"/>
    <w:rsid w:val="15084248"/>
    <w:rsid w:val="15425BE0"/>
    <w:rsid w:val="15B036D2"/>
    <w:rsid w:val="15B303AF"/>
    <w:rsid w:val="15C40EFF"/>
    <w:rsid w:val="160D523E"/>
    <w:rsid w:val="160D5876"/>
    <w:rsid w:val="16723CDC"/>
    <w:rsid w:val="16903624"/>
    <w:rsid w:val="171A0518"/>
    <w:rsid w:val="173451BE"/>
    <w:rsid w:val="17AB175A"/>
    <w:rsid w:val="17B63467"/>
    <w:rsid w:val="17D73722"/>
    <w:rsid w:val="17EB1831"/>
    <w:rsid w:val="181030B5"/>
    <w:rsid w:val="181D067B"/>
    <w:rsid w:val="18544F83"/>
    <w:rsid w:val="187E1899"/>
    <w:rsid w:val="18FC7D9A"/>
    <w:rsid w:val="1A1E0E8D"/>
    <w:rsid w:val="1A201FE1"/>
    <w:rsid w:val="1A590C7B"/>
    <w:rsid w:val="1ACC7838"/>
    <w:rsid w:val="1AD264EB"/>
    <w:rsid w:val="1B024BA7"/>
    <w:rsid w:val="1B842D21"/>
    <w:rsid w:val="1BB44C5F"/>
    <w:rsid w:val="1BB54138"/>
    <w:rsid w:val="1BD55798"/>
    <w:rsid w:val="1BF77A11"/>
    <w:rsid w:val="1C76133F"/>
    <w:rsid w:val="1CBD1102"/>
    <w:rsid w:val="1CE31DDB"/>
    <w:rsid w:val="1D0C395C"/>
    <w:rsid w:val="1D6A1E71"/>
    <w:rsid w:val="1DEF78EB"/>
    <w:rsid w:val="1E17729D"/>
    <w:rsid w:val="1E3F7719"/>
    <w:rsid w:val="1E401C82"/>
    <w:rsid w:val="1E6D38FD"/>
    <w:rsid w:val="1E835B84"/>
    <w:rsid w:val="1E880C3F"/>
    <w:rsid w:val="1F712D4A"/>
    <w:rsid w:val="208C29E1"/>
    <w:rsid w:val="210C1A9E"/>
    <w:rsid w:val="21275B9F"/>
    <w:rsid w:val="2129183E"/>
    <w:rsid w:val="21724923"/>
    <w:rsid w:val="21823201"/>
    <w:rsid w:val="222847D4"/>
    <w:rsid w:val="22297EEA"/>
    <w:rsid w:val="22346D29"/>
    <w:rsid w:val="224C2B1A"/>
    <w:rsid w:val="224D0C1A"/>
    <w:rsid w:val="228E6106"/>
    <w:rsid w:val="22E03333"/>
    <w:rsid w:val="2306591F"/>
    <w:rsid w:val="23EA1DF4"/>
    <w:rsid w:val="241E41F3"/>
    <w:rsid w:val="242908CD"/>
    <w:rsid w:val="242D46A7"/>
    <w:rsid w:val="24780C33"/>
    <w:rsid w:val="24A779A3"/>
    <w:rsid w:val="24B51D7F"/>
    <w:rsid w:val="252033E5"/>
    <w:rsid w:val="253A2565"/>
    <w:rsid w:val="258179B9"/>
    <w:rsid w:val="25AC6740"/>
    <w:rsid w:val="25D51427"/>
    <w:rsid w:val="266742C5"/>
    <w:rsid w:val="26A010A0"/>
    <w:rsid w:val="26AA457D"/>
    <w:rsid w:val="26FB5952"/>
    <w:rsid w:val="27173AD1"/>
    <w:rsid w:val="27874C45"/>
    <w:rsid w:val="27B95933"/>
    <w:rsid w:val="27F55BF3"/>
    <w:rsid w:val="27FA6378"/>
    <w:rsid w:val="28927775"/>
    <w:rsid w:val="28E976C9"/>
    <w:rsid w:val="29291617"/>
    <w:rsid w:val="2A0F415B"/>
    <w:rsid w:val="2A6C5B42"/>
    <w:rsid w:val="2AA4203E"/>
    <w:rsid w:val="2AEF2E8A"/>
    <w:rsid w:val="2AF17CC5"/>
    <w:rsid w:val="2B046611"/>
    <w:rsid w:val="2B153009"/>
    <w:rsid w:val="2B2F58AC"/>
    <w:rsid w:val="2B450F8B"/>
    <w:rsid w:val="2BEB54E8"/>
    <w:rsid w:val="2BF55EAE"/>
    <w:rsid w:val="2C1A4A05"/>
    <w:rsid w:val="2C256C9A"/>
    <w:rsid w:val="2C3C7C13"/>
    <w:rsid w:val="2C562362"/>
    <w:rsid w:val="2C563030"/>
    <w:rsid w:val="2C921BF2"/>
    <w:rsid w:val="2C9245E6"/>
    <w:rsid w:val="2C987A43"/>
    <w:rsid w:val="2CCB5532"/>
    <w:rsid w:val="2D137FED"/>
    <w:rsid w:val="2D22565C"/>
    <w:rsid w:val="2D7A2A39"/>
    <w:rsid w:val="2D8D3A34"/>
    <w:rsid w:val="2DAB1F1D"/>
    <w:rsid w:val="2DDB59CF"/>
    <w:rsid w:val="2E525E55"/>
    <w:rsid w:val="2EA220CD"/>
    <w:rsid w:val="2EF1123F"/>
    <w:rsid w:val="2F1470CA"/>
    <w:rsid w:val="2F873C3D"/>
    <w:rsid w:val="2FBB0368"/>
    <w:rsid w:val="2FBC45B8"/>
    <w:rsid w:val="2FDF7992"/>
    <w:rsid w:val="30736868"/>
    <w:rsid w:val="309F495C"/>
    <w:rsid w:val="30D41CDB"/>
    <w:rsid w:val="31175123"/>
    <w:rsid w:val="315C20E2"/>
    <w:rsid w:val="32233F3C"/>
    <w:rsid w:val="32310DD9"/>
    <w:rsid w:val="323F768B"/>
    <w:rsid w:val="32D06B13"/>
    <w:rsid w:val="32D63752"/>
    <w:rsid w:val="32F84E6A"/>
    <w:rsid w:val="331070E7"/>
    <w:rsid w:val="33186A30"/>
    <w:rsid w:val="33415236"/>
    <w:rsid w:val="340D4483"/>
    <w:rsid w:val="34695AB0"/>
    <w:rsid w:val="3474648D"/>
    <w:rsid w:val="34877D4A"/>
    <w:rsid w:val="34954061"/>
    <w:rsid w:val="34973BEA"/>
    <w:rsid w:val="34A1757E"/>
    <w:rsid w:val="34AB0145"/>
    <w:rsid w:val="34B16790"/>
    <w:rsid w:val="34C21BB2"/>
    <w:rsid w:val="3514112A"/>
    <w:rsid w:val="352B3F5C"/>
    <w:rsid w:val="354C3E19"/>
    <w:rsid w:val="355D4E84"/>
    <w:rsid w:val="357931F5"/>
    <w:rsid w:val="35DA23EC"/>
    <w:rsid w:val="35FF2EEE"/>
    <w:rsid w:val="361629E0"/>
    <w:rsid w:val="36260B2C"/>
    <w:rsid w:val="36564A1A"/>
    <w:rsid w:val="369C0E6E"/>
    <w:rsid w:val="36EA3CB8"/>
    <w:rsid w:val="371047D4"/>
    <w:rsid w:val="373A7482"/>
    <w:rsid w:val="37476B7A"/>
    <w:rsid w:val="3787612D"/>
    <w:rsid w:val="37AB42D2"/>
    <w:rsid w:val="37AB7F05"/>
    <w:rsid w:val="386724BE"/>
    <w:rsid w:val="386974E3"/>
    <w:rsid w:val="38CF2056"/>
    <w:rsid w:val="390F41AD"/>
    <w:rsid w:val="39216687"/>
    <w:rsid w:val="39731AC3"/>
    <w:rsid w:val="398A616B"/>
    <w:rsid w:val="39C005A3"/>
    <w:rsid w:val="3A0D6083"/>
    <w:rsid w:val="3A74027F"/>
    <w:rsid w:val="3A815718"/>
    <w:rsid w:val="3A9F0EA9"/>
    <w:rsid w:val="3AAB3E4C"/>
    <w:rsid w:val="3AAD3571"/>
    <w:rsid w:val="3ABE2A28"/>
    <w:rsid w:val="3AD25C30"/>
    <w:rsid w:val="3B521142"/>
    <w:rsid w:val="3B5A5C5D"/>
    <w:rsid w:val="3B944B7C"/>
    <w:rsid w:val="3BD84A25"/>
    <w:rsid w:val="3C8B7EFB"/>
    <w:rsid w:val="3CA91112"/>
    <w:rsid w:val="3D3934DB"/>
    <w:rsid w:val="3D452875"/>
    <w:rsid w:val="3D9364FB"/>
    <w:rsid w:val="3D982F2B"/>
    <w:rsid w:val="3E3C5414"/>
    <w:rsid w:val="3E717D00"/>
    <w:rsid w:val="3E74152F"/>
    <w:rsid w:val="3F35334F"/>
    <w:rsid w:val="3F5D1B67"/>
    <w:rsid w:val="3FB11634"/>
    <w:rsid w:val="3FCF5A48"/>
    <w:rsid w:val="3FF367D9"/>
    <w:rsid w:val="40A54D3A"/>
    <w:rsid w:val="411615C7"/>
    <w:rsid w:val="411C3945"/>
    <w:rsid w:val="41333C09"/>
    <w:rsid w:val="414855CE"/>
    <w:rsid w:val="41503534"/>
    <w:rsid w:val="416C1BC6"/>
    <w:rsid w:val="42070E8D"/>
    <w:rsid w:val="42C24146"/>
    <w:rsid w:val="42D25D87"/>
    <w:rsid w:val="42FE5EAC"/>
    <w:rsid w:val="43412A3A"/>
    <w:rsid w:val="4341474C"/>
    <w:rsid w:val="43946A1B"/>
    <w:rsid w:val="43DA60E3"/>
    <w:rsid w:val="44182DED"/>
    <w:rsid w:val="444453F7"/>
    <w:rsid w:val="44532E1F"/>
    <w:rsid w:val="44600E23"/>
    <w:rsid w:val="44996236"/>
    <w:rsid w:val="44A64786"/>
    <w:rsid w:val="44A943D2"/>
    <w:rsid w:val="44B07B40"/>
    <w:rsid w:val="44E903D6"/>
    <w:rsid w:val="44FE640C"/>
    <w:rsid w:val="45067EC5"/>
    <w:rsid w:val="45374544"/>
    <w:rsid w:val="45452966"/>
    <w:rsid w:val="45523D5A"/>
    <w:rsid w:val="458630A6"/>
    <w:rsid w:val="45BB3E83"/>
    <w:rsid w:val="45C6528F"/>
    <w:rsid w:val="45CB0510"/>
    <w:rsid w:val="45E66180"/>
    <w:rsid w:val="46346840"/>
    <w:rsid w:val="46525FCA"/>
    <w:rsid w:val="46647CED"/>
    <w:rsid w:val="46CC4254"/>
    <w:rsid w:val="46F66776"/>
    <w:rsid w:val="47353DB9"/>
    <w:rsid w:val="47AF3606"/>
    <w:rsid w:val="47EA7500"/>
    <w:rsid w:val="47EC6FEF"/>
    <w:rsid w:val="485A6B96"/>
    <w:rsid w:val="48773416"/>
    <w:rsid w:val="487E05AD"/>
    <w:rsid w:val="489721D4"/>
    <w:rsid w:val="48A40732"/>
    <w:rsid w:val="4910772D"/>
    <w:rsid w:val="498438B0"/>
    <w:rsid w:val="4997726D"/>
    <w:rsid w:val="4A0F5E59"/>
    <w:rsid w:val="4A583D4F"/>
    <w:rsid w:val="4A5E3F3C"/>
    <w:rsid w:val="4A69388E"/>
    <w:rsid w:val="4A824DE9"/>
    <w:rsid w:val="4AE03EFC"/>
    <w:rsid w:val="4AED5A4A"/>
    <w:rsid w:val="4B02408B"/>
    <w:rsid w:val="4B68470C"/>
    <w:rsid w:val="4BB90005"/>
    <w:rsid w:val="4BE47A69"/>
    <w:rsid w:val="4C083E32"/>
    <w:rsid w:val="4C2735D9"/>
    <w:rsid w:val="4C7B0185"/>
    <w:rsid w:val="4CA102D3"/>
    <w:rsid w:val="4CC6648C"/>
    <w:rsid w:val="4CF166A3"/>
    <w:rsid w:val="4D1C79D3"/>
    <w:rsid w:val="4DCE46E8"/>
    <w:rsid w:val="4E362975"/>
    <w:rsid w:val="4E40575A"/>
    <w:rsid w:val="4E64791E"/>
    <w:rsid w:val="4E885E9E"/>
    <w:rsid w:val="4EAF0DEF"/>
    <w:rsid w:val="4F497F7D"/>
    <w:rsid w:val="4FB469FE"/>
    <w:rsid w:val="502A59FD"/>
    <w:rsid w:val="502C53B5"/>
    <w:rsid w:val="5045729B"/>
    <w:rsid w:val="504A65D8"/>
    <w:rsid w:val="504D7CFA"/>
    <w:rsid w:val="505328F8"/>
    <w:rsid w:val="50625EDD"/>
    <w:rsid w:val="509811D5"/>
    <w:rsid w:val="50C10D83"/>
    <w:rsid w:val="50C41E07"/>
    <w:rsid w:val="50C54DBB"/>
    <w:rsid w:val="51C82A91"/>
    <w:rsid w:val="51F637A1"/>
    <w:rsid w:val="522921FC"/>
    <w:rsid w:val="5232518A"/>
    <w:rsid w:val="52C91037"/>
    <w:rsid w:val="530C65A2"/>
    <w:rsid w:val="530D23F8"/>
    <w:rsid w:val="53395D9F"/>
    <w:rsid w:val="53A2102C"/>
    <w:rsid w:val="53D13700"/>
    <w:rsid w:val="54412959"/>
    <w:rsid w:val="5468057F"/>
    <w:rsid w:val="55674195"/>
    <w:rsid w:val="55AB649F"/>
    <w:rsid w:val="55AC5704"/>
    <w:rsid w:val="55D24813"/>
    <w:rsid w:val="55DF143C"/>
    <w:rsid w:val="55E10DAF"/>
    <w:rsid w:val="56203525"/>
    <w:rsid w:val="562C636F"/>
    <w:rsid w:val="567111B8"/>
    <w:rsid w:val="56B518D2"/>
    <w:rsid w:val="57082744"/>
    <w:rsid w:val="574721C5"/>
    <w:rsid w:val="576C1844"/>
    <w:rsid w:val="576D3036"/>
    <w:rsid w:val="57B65ED0"/>
    <w:rsid w:val="5806372E"/>
    <w:rsid w:val="58F46112"/>
    <w:rsid w:val="58FE3440"/>
    <w:rsid w:val="592809E7"/>
    <w:rsid w:val="593B2B65"/>
    <w:rsid w:val="594131F4"/>
    <w:rsid w:val="596A2AF4"/>
    <w:rsid w:val="59734B48"/>
    <w:rsid w:val="59A12A1F"/>
    <w:rsid w:val="59DA60A2"/>
    <w:rsid w:val="5A0C2059"/>
    <w:rsid w:val="5A117122"/>
    <w:rsid w:val="5A755345"/>
    <w:rsid w:val="5A7620B9"/>
    <w:rsid w:val="5BD6449E"/>
    <w:rsid w:val="5BE852F0"/>
    <w:rsid w:val="5C0427F7"/>
    <w:rsid w:val="5C2D1529"/>
    <w:rsid w:val="5C4158CF"/>
    <w:rsid w:val="5C463C4F"/>
    <w:rsid w:val="5C46665D"/>
    <w:rsid w:val="5C9532E2"/>
    <w:rsid w:val="5CA22EBC"/>
    <w:rsid w:val="5CDF5CE7"/>
    <w:rsid w:val="5D2B6168"/>
    <w:rsid w:val="5D336E4A"/>
    <w:rsid w:val="5D4636D0"/>
    <w:rsid w:val="5D6E635E"/>
    <w:rsid w:val="5D7A405D"/>
    <w:rsid w:val="5D7D7C0B"/>
    <w:rsid w:val="5DF85879"/>
    <w:rsid w:val="5E386B94"/>
    <w:rsid w:val="5E5A549E"/>
    <w:rsid w:val="5E690125"/>
    <w:rsid w:val="5E810351"/>
    <w:rsid w:val="5EC803D2"/>
    <w:rsid w:val="5ED163A1"/>
    <w:rsid w:val="5F3E2FEF"/>
    <w:rsid w:val="5F900CDE"/>
    <w:rsid w:val="60111A3E"/>
    <w:rsid w:val="60BA50CA"/>
    <w:rsid w:val="617B1169"/>
    <w:rsid w:val="6183096B"/>
    <w:rsid w:val="62B958C3"/>
    <w:rsid w:val="62BF62CC"/>
    <w:rsid w:val="62D235C9"/>
    <w:rsid w:val="62FD055B"/>
    <w:rsid w:val="63167AE0"/>
    <w:rsid w:val="63321F35"/>
    <w:rsid w:val="63694524"/>
    <w:rsid w:val="636B2C1C"/>
    <w:rsid w:val="63FE6F5A"/>
    <w:rsid w:val="644572F5"/>
    <w:rsid w:val="64530154"/>
    <w:rsid w:val="64CD09AD"/>
    <w:rsid w:val="64DE6B05"/>
    <w:rsid w:val="64FF3FFD"/>
    <w:rsid w:val="656D3DD2"/>
    <w:rsid w:val="657A3553"/>
    <w:rsid w:val="6592772C"/>
    <w:rsid w:val="66033133"/>
    <w:rsid w:val="660A79F2"/>
    <w:rsid w:val="662E0337"/>
    <w:rsid w:val="66A73308"/>
    <w:rsid w:val="66C5012A"/>
    <w:rsid w:val="66CB01F3"/>
    <w:rsid w:val="66E839E4"/>
    <w:rsid w:val="66ED3442"/>
    <w:rsid w:val="671806BF"/>
    <w:rsid w:val="67454D2D"/>
    <w:rsid w:val="676C1053"/>
    <w:rsid w:val="67AD6F5A"/>
    <w:rsid w:val="67CE3677"/>
    <w:rsid w:val="67E40DCD"/>
    <w:rsid w:val="68275057"/>
    <w:rsid w:val="683166E6"/>
    <w:rsid w:val="693E0E40"/>
    <w:rsid w:val="69C9295F"/>
    <w:rsid w:val="69F3524C"/>
    <w:rsid w:val="69FD13CF"/>
    <w:rsid w:val="6A8F4985"/>
    <w:rsid w:val="6AA948CE"/>
    <w:rsid w:val="6AD4513A"/>
    <w:rsid w:val="6AE4099C"/>
    <w:rsid w:val="6AE4406A"/>
    <w:rsid w:val="6B7A1A95"/>
    <w:rsid w:val="6BAB37DA"/>
    <w:rsid w:val="6BB64D44"/>
    <w:rsid w:val="6BB867E1"/>
    <w:rsid w:val="6BBB1994"/>
    <w:rsid w:val="6BD87C02"/>
    <w:rsid w:val="6C292E18"/>
    <w:rsid w:val="6CDE412A"/>
    <w:rsid w:val="6D2423C7"/>
    <w:rsid w:val="6D3B13E6"/>
    <w:rsid w:val="6D604A94"/>
    <w:rsid w:val="6DF5467C"/>
    <w:rsid w:val="6E3121B6"/>
    <w:rsid w:val="6EBC65BB"/>
    <w:rsid w:val="6ECA1F57"/>
    <w:rsid w:val="6F4469A8"/>
    <w:rsid w:val="6F6448D0"/>
    <w:rsid w:val="6F706D3B"/>
    <w:rsid w:val="6FC4392D"/>
    <w:rsid w:val="6FCE6D0D"/>
    <w:rsid w:val="70216212"/>
    <w:rsid w:val="70A24145"/>
    <w:rsid w:val="70CF5BA8"/>
    <w:rsid w:val="70D652A6"/>
    <w:rsid w:val="70E32269"/>
    <w:rsid w:val="71217EBD"/>
    <w:rsid w:val="71334FDA"/>
    <w:rsid w:val="71CA1123"/>
    <w:rsid w:val="71DC67EF"/>
    <w:rsid w:val="724174BD"/>
    <w:rsid w:val="72C64B6B"/>
    <w:rsid w:val="72E01C02"/>
    <w:rsid w:val="730B0646"/>
    <w:rsid w:val="73220B72"/>
    <w:rsid w:val="734C5985"/>
    <w:rsid w:val="738B0DBB"/>
    <w:rsid w:val="73D01B22"/>
    <w:rsid w:val="744851EA"/>
    <w:rsid w:val="757F5225"/>
    <w:rsid w:val="75810A2E"/>
    <w:rsid w:val="75AC14BF"/>
    <w:rsid w:val="75AC7D25"/>
    <w:rsid w:val="75BE0645"/>
    <w:rsid w:val="7604552B"/>
    <w:rsid w:val="76346C1E"/>
    <w:rsid w:val="764C3330"/>
    <w:rsid w:val="76EB1E01"/>
    <w:rsid w:val="774736D8"/>
    <w:rsid w:val="781B7D57"/>
    <w:rsid w:val="783F39CA"/>
    <w:rsid w:val="7879128B"/>
    <w:rsid w:val="787B72B8"/>
    <w:rsid w:val="78B13958"/>
    <w:rsid w:val="78C958E8"/>
    <w:rsid w:val="78E06D81"/>
    <w:rsid w:val="794F0431"/>
    <w:rsid w:val="794F1800"/>
    <w:rsid w:val="79C01D65"/>
    <w:rsid w:val="7AD42761"/>
    <w:rsid w:val="7AD8117B"/>
    <w:rsid w:val="7B16662B"/>
    <w:rsid w:val="7B503FBB"/>
    <w:rsid w:val="7B5473BC"/>
    <w:rsid w:val="7B925EDF"/>
    <w:rsid w:val="7BA42FEE"/>
    <w:rsid w:val="7C0F32FA"/>
    <w:rsid w:val="7C204E23"/>
    <w:rsid w:val="7C846162"/>
    <w:rsid w:val="7D1D3B56"/>
    <w:rsid w:val="7D245A3F"/>
    <w:rsid w:val="7D487882"/>
    <w:rsid w:val="7D4B23A2"/>
    <w:rsid w:val="7DC43B67"/>
    <w:rsid w:val="7DFB1C3D"/>
    <w:rsid w:val="7E1F15AC"/>
    <w:rsid w:val="7E273EF8"/>
    <w:rsid w:val="7E7F5F6E"/>
    <w:rsid w:val="7F177B39"/>
    <w:rsid w:val="7F28386D"/>
    <w:rsid w:val="7FDE1C8A"/>
    <w:rsid w:val="7FF0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beforeLines="0" w:beforeAutospacing="0" w:afterLines="0" w:afterAutospacing="0" w:line="240" w:lineRule="auto"/>
      <w:jc w:val="left"/>
      <w:outlineLvl w:val="0"/>
    </w:pPr>
    <w:rPr>
      <w:rFonts w:eastAsia="方正黑体_GBK" w:asciiTheme="minorAscii" w:hAnsiTheme="minorAscii"/>
      <w:snapToGrid w:val="0"/>
      <w:kern w:val="0"/>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楷体_GB2312"/>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rFonts w:asciiTheme="minorAscii" w:hAnsiTheme="minorAscii"/>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footer"/>
    <w:basedOn w:val="1"/>
    <w:uiPriority w:val="99"/>
    <w:pPr>
      <w:tabs>
        <w:tab w:val="center" w:pos="4153"/>
        <w:tab w:val="right" w:pos="8306"/>
      </w:tabs>
      <w:snapToGrid w:val="0"/>
      <w:jc w:val="left"/>
    </w:pPr>
    <w:rPr>
      <w:sz w:val="18"/>
      <w:szCs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2676</Words>
  <Characters>2691</Characters>
  <Lines>0</Lines>
  <Paragraphs>0</Paragraphs>
  <TotalTime>21</TotalTime>
  <ScaleCrop>false</ScaleCrop>
  <LinksUpToDate>false</LinksUpToDate>
  <CharactersWithSpaces>2795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2022-05-31T09:12:00Z</dcterms:created>
  <dc:creator>虞欣睿</dc:creator>
  <cp:lastModifiedBy>小小白～</cp:lastModifiedBy>
  <dcterms:modified xsi:type="dcterms:W3CDTF">2022-06-01T05:31:48Z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4DD77A2BFB1B462AA2FD3F953974BC82</vt:lpwstr>
  </property>
</Properties>
</file>