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克拉玛依市彩陶（紫砂）产业高质量发展措施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960" w:firstLineChars="3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（市政府行政规范性文件，草案）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紫砂产业作为中国传统工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艺品的重要组成部分，承载着丰富的历史文化和艺术价值，围绕市委市政府“一主多元”产业发展思路，为推动全市彩陶（紫砂）产业高质量发展，制定本措施。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一、设立产业发展扶持和引导基金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设立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产业发展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扶持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基金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（以下简称扶持基金），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领域的产品研发、生产加工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技术创新、产业升级、人才培养及引进等方面予以支持。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充分发挥国有资本对经济高质量发展的引领、带动、支持作用。支持国有企业以联合开发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、资源互换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等多种形式开展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合作，加快打造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我市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产业支柱企业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.鼓励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产业链上下游企业共同出资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成立产业引导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基金，形成利益共同体，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培育市场主体，壮大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产业集群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，允许企业通过基金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盈利分红。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牵头部门：市城投公司、市国资委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22"/>
          <w:lang w:val="en-US" w:eastAsia="zh-CN"/>
        </w:rPr>
        <w:t>配合部门：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市财政局、各区人民政府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二、产业用地布局与规划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优化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空间布局。支持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彩陶（紫砂）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全产业链建设，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明确紫砂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开采、生产、物流、研发、创意、展示等用地空间。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积极引导彩陶（紫砂）企业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在汉博文化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创意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园、金龙湖等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区域进行高端彩陶产业集聚建设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，通过集群式发展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打造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彩陶（紫砂）文化示范区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彩陶（紫砂）产业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用地要素保障。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将彩陶（紫砂）产业用地纳入《加强自然资源要素保障服务经济高质量发展二十条措施》予以保障。二是各类产业园区中彩陶（紫砂）产业项目可参照《克拉玛依市园区社会投资项目“用地清单制”实施细则（试行）》、《克拉玛依市自然资源局政务服务事项容缺受理实施办法》、《克拉玛依市建设工程规划许可告知承诺实施办法》加快速办理用地规划许可、工程规划许可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6.支持预告登记转让。对于彩陶（紫砂）项目投资额未达到25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%的，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进行预告登记，在项目投资额25%后，即可办理转让手续。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牵头细化落实部门：市自然资源局、市工信局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三、规范资源勘查与开发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建立矿产资源勘查开发资金激励机制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支持地勘单位、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矿山企业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以及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国有资金出资的风险勘探投资基金机构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自筹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资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金开展矿产调查，提供出让区块建议。成功出让给其他市场主体的，除返还实际调查投入资金外，还可给予出让收益成交价一定比例的资金补偿。返还和补偿资金由矿业权竞得人支付。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每年根据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彩陶（紫砂）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产业发展需求，结合年度财力安排财政资金用于资源勘查开发和资源品质研究，加强原料采选、工艺特性研究。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完善矿产资源探采供销储统筹和衔接体系。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加强矿业权开发保护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通过勘查详细掌握紫砂原料（陶瓷土）品质分布情况，划定重点开采区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高品质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、一般开采区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一般品质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对适用于工艺陶等高附加价值产业发展的高品质原料，进行保护开采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。优选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下游产业的开采企业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附加价值高的企业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进行原料供给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指导行业协会搭建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紫砂资源采购供应平台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。划定重点开采区和一般开采区后，与其他产业发展相冲突时应优先考虑发展彩陶（紫砂）产业，对已布局的低效产业探索逐步退出。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四、财税金融支持措施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严格落实国家各项税费优惠政策，保障我市彩陶（紫砂）产业企业应享尽享，落地见效。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优化彩陶（紫砂）产业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贷款融资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服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务。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参照人民银行同期5年期以上贷款市场报价利率（LPR）的50</w:t>
      </w:r>
      <w:r>
        <w:rPr>
          <w:rFonts w:hint="eastAsia" w:ascii="CESI仿宋-GB2312" w:hAnsi="CESI仿宋-GB2312" w:eastAsia="CESI仿宋-GB2312" w:cs="CESI仿宋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给予贷款贴息支持，单笔贴息最高不超过150万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Hans"/>
        </w:rPr>
        <w:t>元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牵头部门：市税务局、市财政局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五、招商引资奖励措施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经政府确认的招商中介机构、平台或个人，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待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招商项目落地建成投产后，给予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一定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奖励。对于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其他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引进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彩陶（紫砂）产业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在我市落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建成投产的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给予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引进方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一定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奖励。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奖励金由扶持基金承担。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六、加强彩陶（紫砂）文化推广与品牌建设支持措施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推进对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工艺和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文化的研究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结合克拉玛依本地风土人情，制作高质量、高附加值的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壶、器皿、陶笛等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文创产品，支持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文化企业创品牌、创商标；加强对克拉玛依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的宣传力度，充分利用“两微一抖”等新媒体平台不断提升克拉玛依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的知名度；通过举办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lang w:val="en-US" w:eastAsia="zh-CN"/>
        </w:rPr>
        <w:t>彩陶（紫砂）制作大赛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、创作等活动的方式，邀请来自全国知名的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文化大家前往我市指导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工艺制作，同时与知名院校对接，相互交流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文化艺术。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在基金中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克拉玛依彩陶（紫砂）推广宣传补贴，鼓励企业在各地设置克拉玛依彩陶（紫砂）展厅，开展展览、会议等各种活动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方式大力宣传克拉玛依彩陶（紫砂）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牵头部门：市文旅局、市工信局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七、彩陶（紫砂）产品研发及创新支持措施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鼓励企业或个人进行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产品研发及创新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获得立项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的项目给与科研资金支持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积极推荐企业申报科学技术奖、参与创新创业大赛。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积极推动彩陶（紫砂）产业智能化发展，将彩陶（紫砂）产业的创新研发纳入科技计划项目指南支持范围，鼓励彩陶（紫砂）产业链上下游企业联合申报科技计划项目，促进彩陶（紫砂）产业的可持续发展。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lang w:val="en-US" w:eastAsia="zh-CN"/>
        </w:rPr>
        <w:t>16.积极与各大院校对接、从专利产品中寻找与彩陶（紫砂）产品相融合的产业，扩大彩陶（紫砂）在专利产品中的运用。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牵头部门：市科技局、市商务局、市市场监管局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八、企业生产经营支持措施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17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.在汉博文化创意园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区及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各类园区内租用国有资产或租用标准化厂房，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用于发展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工艺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产业、研发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产品、经营销售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文创、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开展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创新试验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的，用扶持基金补贴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3年租金。对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新立项进行彩陶（紫砂）产业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投资建设的企业，根据投资强度给予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一定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奖励。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奖励金由扶持基金承担。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18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.对年度营业收入达到要求的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彩陶（紫砂）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  <w:t>企业给予一次性奖励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。奖励金由扶持基金承担。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牵头部门：市商务局、市财政局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九、人才培养及引进支持措施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依托中国石油大学(北京)克拉玛依校区现有师资和研究力量，支持以克拉玛依职业技术学院为主体，设立有关工艺技术类专业，开设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相关课程，培养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方面专业人才；在中小学课后服务、校本课程、研学等方面增加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相关的内容，自下而上做好人才培养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彩陶（紫砂）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产业新引进的各类优秀人才，按照《克拉玛依市急需紧缺人才引进办法》等有关政策享受相应人才待遇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牵头部门：市教育局、市委组织部、市人社局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配合部门：各区人民政府、中国石油大学（北京）克拉玛依校区、克拉玛依职业技术学院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十、附则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21.各区人民政府、行业管理部门可根据实际制定相关产业扶持政策。对同一企业同一事项同时适用市、区两级优惠政策中规定同一支持方式的，按照“从高、不重复”的原则予以支持。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22.对于骗取、套取彩陶（紫砂）优惠政策、扶持奖励资金以及利用奖励资金从事违法犯罪活动的，一经查处，严厉追责，立即取消其政策享受资格，并追回前期已给付的奖励资金。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23.本措施自公布之日起施行，原有措施与本措施规定不相符的，以本措施为准，在本措施施行前已备案（核准）的项目按备案（核准）时生效的政策执行，如遇国家、自治区政策调整，按照最新政策执行。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24.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本政策由各有关行业管理部门负责解释。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zUyZThlMmViYTIxN2UxNDI5NjBkMmFkYjJlZGQifQ=="/>
  </w:docVars>
  <w:rsids>
    <w:rsidRoot w:val="00000000"/>
    <w:rsid w:val="015656C1"/>
    <w:rsid w:val="018903B6"/>
    <w:rsid w:val="02485903"/>
    <w:rsid w:val="02944CE5"/>
    <w:rsid w:val="03861E0A"/>
    <w:rsid w:val="041A0C4E"/>
    <w:rsid w:val="04C36C4F"/>
    <w:rsid w:val="04FA72D9"/>
    <w:rsid w:val="06071FC5"/>
    <w:rsid w:val="06AB3220"/>
    <w:rsid w:val="078608E5"/>
    <w:rsid w:val="08054C44"/>
    <w:rsid w:val="0808379E"/>
    <w:rsid w:val="08355753"/>
    <w:rsid w:val="0879798D"/>
    <w:rsid w:val="088D6BC1"/>
    <w:rsid w:val="0A711F72"/>
    <w:rsid w:val="106E722B"/>
    <w:rsid w:val="11977AC0"/>
    <w:rsid w:val="12287AF6"/>
    <w:rsid w:val="12697444"/>
    <w:rsid w:val="14921460"/>
    <w:rsid w:val="15CD05C0"/>
    <w:rsid w:val="160C56E7"/>
    <w:rsid w:val="160F4696"/>
    <w:rsid w:val="19301B9A"/>
    <w:rsid w:val="1A167141"/>
    <w:rsid w:val="1A347A1B"/>
    <w:rsid w:val="1BCF13B7"/>
    <w:rsid w:val="1D0B5E5D"/>
    <w:rsid w:val="1EEB1187"/>
    <w:rsid w:val="1FFF3687"/>
    <w:rsid w:val="20B34540"/>
    <w:rsid w:val="21837674"/>
    <w:rsid w:val="223F1E27"/>
    <w:rsid w:val="22961E41"/>
    <w:rsid w:val="22A71560"/>
    <w:rsid w:val="234A565B"/>
    <w:rsid w:val="2353066E"/>
    <w:rsid w:val="23683E74"/>
    <w:rsid w:val="24435C30"/>
    <w:rsid w:val="244C257C"/>
    <w:rsid w:val="25B93675"/>
    <w:rsid w:val="282A178C"/>
    <w:rsid w:val="2A3B4B6C"/>
    <w:rsid w:val="2BFB1225"/>
    <w:rsid w:val="2C06078A"/>
    <w:rsid w:val="2C193FD3"/>
    <w:rsid w:val="2D4B1D4C"/>
    <w:rsid w:val="2DA131B4"/>
    <w:rsid w:val="2DFD69FE"/>
    <w:rsid w:val="30504B37"/>
    <w:rsid w:val="30A17AEE"/>
    <w:rsid w:val="3115653F"/>
    <w:rsid w:val="31F909BF"/>
    <w:rsid w:val="3201388B"/>
    <w:rsid w:val="32951E23"/>
    <w:rsid w:val="32A46DA8"/>
    <w:rsid w:val="336C59DA"/>
    <w:rsid w:val="336E24B1"/>
    <w:rsid w:val="33F00392"/>
    <w:rsid w:val="37380D80"/>
    <w:rsid w:val="37F5193F"/>
    <w:rsid w:val="38FE43AD"/>
    <w:rsid w:val="394825DB"/>
    <w:rsid w:val="3A6FB9B9"/>
    <w:rsid w:val="3AFCB647"/>
    <w:rsid w:val="3BE61637"/>
    <w:rsid w:val="3C1009F4"/>
    <w:rsid w:val="3DB7FFE5"/>
    <w:rsid w:val="3EDA04AF"/>
    <w:rsid w:val="3EEB2AFA"/>
    <w:rsid w:val="3F4D2278"/>
    <w:rsid w:val="3FF20445"/>
    <w:rsid w:val="3FF5F6D0"/>
    <w:rsid w:val="3FFF118A"/>
    <w:rsid w:val="409D7A4A"/>
    <w:rsid w:val="40AC2E65"/>
    <w:rsid w:val="43100C81"/>
    <w:rsid w:val="44D26E6A"/>
    <w:rsid w:val="450C1C71"/>
    <w:rsid w:val="46B76BE7"/>
    <w:rsid w:val="46E20C4A"/>
    <w:rsid w:val="475544FA"/>
    <w:rsid w:val="47886826"/>
    <w:rsid w:val="47F6F835"/>
    <w:rsid w:val="482257FB"/>
    <w:rsid w:val="4AE32EF3"/>
    <w:rsid w:val="4B7C1516"/>
    <w:rsid w:val="4D776A70"/>
    <w:rsid w:val="4ECF6057"/>
    <w:rsid w:val="4F6F6896"/>
    <w:rsid w:val="4FCC0B51"/>
    <w:rsid w:val="52DC1C30"/>
    <w:rsid w:val="536C0956"/>
    <w:rsid w:val="53AFA579"/>
    <w:rsid w:val="54E97316"/>
    <w:rsid w:val="55F53752"/>
    <w:rsid w:val="57120852"/>
    <w:rsid w:val="58CA0B9C"/>
    <w:rsid w:val="59DF7942"/>
    <w:rsid w:val="5C196FF3"/>
    <w:rsid w:val="5C724FC8"/>
    <w:rsid w:val="5CAFE74D"/>
    <w:rsid w:val="5CDE5938"/>
    <w:rsid w:val="5DF737E6"/>
    <w:rsid w:val="5E556F9D"/>
    <w:rsid w:val="5EFECA4E"/>
    <w:rsid w:val="5F672AA5"/>
    <w:rsid w:val="621156BC"/>
    <w:rsid w:val="634F72B3"/>
    <w:rsid w:val="636F1B12"/>
    <w:rsid w:val="63AB72F9"/>
    <w:rsid w:val="64F03610"/>
    <w:rsid w:val="66536BAF"/>
    <w:rsid w:val="6661390E"/>
    <w:rsid w:val="69DD32F0"/>
    <w:rsid w:val="6AC82052"/>
    <w:rsid w:val="6BFD971E"/>
    <w:rsid w:val="6CA33CAD"/>
    <w:rsid w:val="6E035C5A"/>
    <w:rsid w:val="6E0D1D15"/>
    <w:rsid w:val="6E522170"/>
    <w:rsid w:val="6F1F7326"/>
    <w:rsid w:val="70810F9E"/>
    <w:rsid w:val="72CE4981"/>
    <w:rsid w:val="73FC9CF0"/>
    <w:rsid w:val="74B87A48"/>
    <w:rsid w:val="75BE646D"/>
    <w:rsid w:val="75D74E97"/>
    <w:rsid w:val="768B24F7"/>
    <w:rsid w:val="76B06FE3"/>
    <w:rsid w:val="775E08B9"/>
    <w:rsid w:val="777FD96C"/>
    <w:rsid w:val="77906C04"/>
    <w:rsid w:val="77BE7C78"/>
    <w:rsid w:val="77DA87D9"/>
    <w:rsid w:val="77FF3644"/>
    <w:rsid w:val="77FFC057"/>
    <w:rsid w:val="78573754"/>
    <w:rsid w:val="7857415F"/>
    <w:rsid w:val="7AFFCF28"/>
    <w:rsid w:val="7BAF2B9A"/>
    <w:rsid w:val="7BB59702"/>
    <w:rsid w:val="7BF7F05C"/>
    <w:rsid w:val="7BFD2642"/>
    <w:rsid w:val="7C955284"/>
    <w:rsid w:val="7CFFB183"/>
    <w:rsid w:val="7D0420F7"/>
    <w:rsid w:val="7D1E0C8D"/>
    <w:rsid w:val="7D3F3D41"/>
    <w:rsid w:val="7D57D84B"/>
    <w:rsid w:val="7D590BC0"/>
    <w:rsid w:val="7D7B27D2"/>
    <w:rsid w:val="7DCDBBBE"/>
    <w:rsid w:val="7EBE4B9E"/>
    <w:rsid w:val="7EED592A"/>
    <w:rsid w:val="7EF7989F"/>
    <w:rsid w:val="7FEF62EA"/>
    <w:rsid w:val="97D7BA14"/>
    <w:rsid w:val="AEEF7B25"/>
    <w:rsid w:val="AFAB1645"/>
    <w:rsid w:val="AFAF0D6C"/>
    <w:rsid w:val="AFD73E9F"/>
    <w:rsid w:val="BBDF7BF9"/>
    <w:rsid w:val="BE1EFCE0"/>
    <w:rsid w:val="BEFFA11B"/>
    <w:rsid w:val="D3D7FCED"/>
    <w:rsid w:val="D5EFA137"/>
    <w:rsid w:val="D76FB442"/>
    <w:rsid w:val="DE3B1591"/>
    <w:rsid w:val="E7BDDDE5"/>
    <w:rsid w:val="EBEB852D"/>
    <w:rsid w:val="EF7D3840"/>
    <w:rsid w:val="EFDDE8E9"/>
    <w:rsid w:val="F3DDBACC"/>
    <w:rsid w:val="F5FD6AA2"/>
    <w:rsid w:val="F775B30D"/>
    <w:rsid w:val="F7ADB260"/>
    <w:rsid w:val="F7D01349"/>
    <w:rsid w:val="FB7EE009"/>
    <w:rsid w:val="FD7FB7AF"/>
    <w:rsid w:val="FE9FBFDE"/>
    <w:rsid w:val="FEDED5E3"/>
    <w:rsid w:val="FEDFFFEE"/>
    <w:rsid w:val="FF79B1BF"/>
    <w:rsid w:val="FF8E5157"/>
    <w:rsid w:val="FFFFF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2336</Words>
  <Characters>2387</Characters>
  <Lines>0</Lines>
  <Paragraphs>0</Paragraphs>
  <TotalTime>4</TotalTime>
  <ScaleCrop>false</ScaleCrop>
  <LinksUpToDate>false</LinksUpToDate>
  <CharactersWithSpaces>2389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2024-10-25T09:08:00Z</dcterms:created>
  <dc:creator>user</dc:creator>
  <cp:lastModifiedBy>漫漫长途终有回转</cp:lastModifiedBy>
  <cp:lastPrinted>2025-03-28T03:37:00Z</cp:lastPrinted>
  <dcterms:modified xsi:type="dcterms:W3CDTF">2025-04-28T04:29:19Z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DA228A9C434388D4319714677603A07C</vt:lpwstr>
  </property>
</Properties>
</file>