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12" w:rsidRPr="007E47AD" w:rsidRDefault="00EE1612" w:rsidP="008D28E0">
      <w:pPr>
        <w:snapToGrid w:val="0"/>
        <w:spacing w:line="600" w:lineRule="exact"/>
        <w:jc w:val="center"/>
        <w:rPr>
          <w:kern w:val="0"/>
          <w:szCs w:val="21"/>
          <w:u w:val="single"/>
        </w:rPr>
      </w:pPr>
    </w:p>
    <w:p w:rsidR="00EE1612" w:rsidRPr="007A05D6" w:rsidRDefault="00EE1612" w:rsidP="008D28E0">
      <w:pPr>
        <w:widowControl/>
        <w:spacing w:line="600" w:lineRule="exact"/>
        <w:jc w:val="center"/>
        <w:rPr>
          <w:rFonts w:eastAsia="方正大标宋简体"/>
          <w:bCs/>
          <w:color w:val="000000"/>
          <w:sz w:val="36"/>
        </w:rPr>
      </w:pPr>
      <w:r w:rsidRPr="007A05D6">
        <w:rPr>
          <w:rFonts w:eastAsia="方正大标宋简体" w:hint="eastAsia"/>
          <w:bCs/>
          <w:kern w:val="0"/>
          <w:sz w:val="36"/>
          <w:szCs w:val="36"/>
        </w:rPr>
        <w:t>克拉玛依市</w:t>
      </w:r>
      <w:r w:rsidRPr="007A05D6">
        <w:rPr>
          <w:rFonts w:eastAsia="方正大标宋简体"/>
          <w:bCs/>
          <w:kern w:val="0"/>
          <w:sz w:val="36"/>
          <w:szCs w:val="36"/>
        </w:rPr>
        <w:t>201</w:t>
      </w:r>
      <w:r w:rsidR="009650A1">
        <w:rPr>
          <w:rFonts w:eastAsia="方正大标宋简体" w:hint="eastAsia"/>
          <w:bCs/>
          <w:kern w:val="0"/>
          <w:sz w:val="36"/>
          <w:szCs w:val="36"/>
        </w:rPr>
        <w:t>9</w:t>
      </w:r>
      <w:r w:rsidRPr="007A05D6">
        <w:rPr>
          <w:rFonts w:eastAsia="方正大标宋简体" w:hint="eastAsia"/>
          <w:bCs/>
          <w:kern w:val="0"/>
          <w:sz w:val="36"/>
          <w:szCs w:val="36"/>
        </w:rPr>
        <w:t>年国民经济和社会发展统计公报</w:t>
      </w:r>
    </w:p>
    <w:p w:rsidR="00EE1612" w:rsidRPr="007A05D6" w:rsidRDefault="00EE1612" w:rsidP="00AF2873">
      <w:pPr>
        <w:snapToGrid w:val="0"/>
        <w:spacing w:beforeLines="50" w:before="156" w:line="500" w:lineRule="exact"/>
        <w:jc w:val="center"/>
        <w:rPr>
          <w:rFonts w:eastAsia="方正北魏楷书简体"/>
          <w:sz w:val="24"/>
        </w:rPr>
      </w:pPr>
      <w:r w:rsidRPr="007A05D6">
        <w:rPr>
          <w:rFonts w:eastAsia="方正北魏楷书简体" w:hint="eastAsia"/>
          <w:sz w:val="24"/>
        </w:rPr>
        <w:t>克拉玛依市统计局</w:t>
      </w:r>
    </w:p>
    <w:p w:rsidR="00EE1612" w:rsidRPr="007A05D6" w:rsidRDefault="00EE1612" w:rsidP="00B83F36">
      <w:pPr>
        <w:snapToGrid w:val="0"/>
        <w:spacing w:line="400" w:lineRule="exact"/>
        <w:rPr>
          <w:kern w:val="0"/>
          <w:szCs w:val="21"/>
        </w:rPr>
      </w:pPr>
    </w:p>
    <w:p w:rsidR="00127112" w:rsidRDefault="00C2768A" w:rsidP="00AF2873">
      <w:pPr>
        <w:adjustRightInd w:val="0"/>
        <w:snapToGrid w:val="0"/>
        <w:spacing w:beforeLines="50" w:before="156" w:afterLines="50" w:after="156" w:line="440" w:lineRule="exact"/>
        <w:ind w:firstLineChars="200" w:firstLine="420"/>
        <w:rPr>
          <w:szCs w:val="21"/>
        </w:rPr>
      </w:pPr>
      <w:r w:rsidRPr="00C2768A">
        <w:rPr>
          <w:rFonts w:hint="eastAsia"/>
          <w:szCs w:val="21"/>
        </w:rPr>
        <w:t>201</w:t>
      </w:r>
      <w:r w:rsidR="009650A1">
        <w:rPr>
          <w:rFonts w:hint="eastAsia"/>
          <w:szCs w:val="21"/>
        </w:rPr>
        <w:t>9</w:t>
      </w:r>
      <w:r w:rsidRPr="00C2768A">
        <w:rPr>
          <w:rFonts w:hint="eastAsia"/>
          <w:szCs w:val="21"/>
        </w:rPr>
        <w:t>年，</w:t>
      </w:r>
      <w:r w:rsidR="00247255">
        <w:rPr>
          <w:rFonts w:hint="eastAsia"/>
          <w:szCs w:val="21"/>
        </w:rPr>
        <w:t>面对复杂严峻的国内外形势和持续加大的经济下行压力</w:t>
      </w:r>
      <w:r w:rsidR="00DD5466" w:rsidRPr="00DD5466">
        <w:rPr>
          <w:rFonts w:hint="eastAsia"/>
          <w:szCs w:val="21"/>
        </w:rPr>
        <w:t>，</w:t>
      </w:r>
      <w:r w:rsidR="00247255">
        <w:rPr>
          <w:rFonts w:hint="eastAsia"/>
          <w:szCs w:val="21"/>
        </w:rPr>
        <w:t>在自治区党委的坚强领导下，</w:t>
      </w:r>
      <w:r w:rsidR="00247255" w:rsidRPr="00C2768A">
        <w:rPr>
          <w:rFonts w:hint="eastAsia"/>
          <w:szCs w:val="21"/>
        </w:rPr>
        <w:t>市委、市人民政府团结带领全市各族人民，以习近平新时代中国特色社会主义思想为指导，</w:t>
      </w:r>
      <w:r w:rsidR="00127112" w:rsidRPr="00127112">
        <w:rPr>
          <w:rFonts w:hint="eastAsia"/>
          <w:szCs w:val="21"/>
        </w:rPr>
        <w:t>深入学习贯彻党的十九大</w:t>
      </w:r>
      <w:r w:rsidR="00127112">
        <w:rPr>
          <w:rFonts w:hint="eastAsia"/>
          <w:szCs w:val="21"/>
        </w:rPr>
        <w:t>和</w:t>
      </w:r>
      <w:r w:rsidR="00127112" w:rsidRPr="00127112">
        <w:rPr>
          <w:rFonts w:hint="eastAsia"/>
          <w:szCs w:val="21"/>
        </w:rPr>
        <w:t>十九届二中、三中、四中全会精神，贯彻落实新时代党</w:t>
      </w:r>
      <w:proofErr w:type="gramStart"/>
      <w:r w:rsidR="00127112" w:rsidRPr="00127112">
        <w:rPr>
          <w:rFonts w:hint="eastAsia"/>
          <w:szCs w:val="21"/>
        </w:rPr>
        <w:t>的治疆方略</w:t>
      </w:r>
      <w:proofErr w:type="gramEnd"/>
      <w:r w:rsidR="00127112" w:rsidRPr="00127112">
        <w:rPr>
          <w:rFonts w:hint="eastAsia"/>
          <w:szCs w:val="21"/>
        </w:rPr>
        <w:t>，特别是社会稳定和长治久安总目标，</w:t>
      </w:r>
      <w:r w:rsidR="00207F80" w:rsidRPr="00127112">
        <w:rPr>
          <w:rFonts w:hint="eastAsia"/>
          <w:szCs w:val="21"/>
        </w:rPr>
        <w:t>扎实开展“不忘初心、牢记使命”主题教育，</w:t>
      </w:r>
      <w:r w:rsidR="00BE3319">
        <w:rPr>
          <w:rFonts w:hint="eastAsia"/>
          <w:szCs w:val="21"/>
        </w:rPr>
        <w:t>严格按照</w:t>
      </w:r>
      <w:r w:rsidR="00127112" w:rsidRPr="00127112">
        <w:rPr>
          <w:rFonts w:hint="eastAsia"/>
          <w:szCs w:val="21"/>
        </w:rPr>
        <w:t>自治区党委“</w:t>
      </w:r>
      <w:r w:rsidR="00127112" w:rsidRPr="00127112">
        <w:rPr>
          <w:rFonts w:hint="eastAsia"/>
          <w:szCs w:val="21"/>
        </w:rPr>
        <w:t>1+3+3+</w:t>
      </w:r>
      <w:r w:rsidR="00127112" w:rsidRPr="00127112">
        <w:rPr>
          <w:rFonts w:hint="eastAsia"/>
          <w:szCs w:val="21"/>
        </w:rPr>
        <w:t>改革开放”工作部署，</w:t>
      </w:r>
      <w:r w:rsidR="00207F80" w:rsidRPr="00127112">
        <w:rPr>
          <w:rFonts w:hint="eastAsia"/>
          <w:szCs w:val="21"/>
        </w:rPr>
        <w:t>统筹推进稳定发展改革各项工作</w:t>
      </w:r>
      <w:r w:rsidR="00BE3319">
        <w:rPr>
          <w:rFonts w:hint="eastAsia"/>
          <w:szCs w:val="21"/>
        </w:rPr>
        <w:t>，</w:t>
      </w:r>
      <w:r w:rsidR="00127112" w:rsidRPr="00127112">
        <w:rPr>
          <w:rFonts w:hint="eastAsia"/>
          <w:szCs w:val="21"/>
        </w:rPr>
        <w:t>坚持稳中求进工作总基调，坚持新发展理念，</w:t>
      </w:r>
      <w:r w:rsidR="00250318">
        <w:rPr>
          <w:rFonts w:hint="eastAsia"/>
          <w:szCs w:val="21"/>
        </w:rPr>
        <w:t>以供给侧结构性改革为主线，</w:t>
      </w:r>
      <w:r w:rsidR="00207F80">
        <w:rPr>
          <w:rFonts w:hint="eastAsia"/>
          <w:szCs w:val="21"/>
        </w:rPr>
        <w:t>努力</w:t>
      </w:r>
      <w:r w:rsidR="00127112" w:rsidRPr="00127112">
        <w:rPr>
          <w:rFonts w:hint="eastAsia"/>
          <w:szCs w:val="21"/>
        </w:rPr>
        <w:t>推动高质量发展和城市升级转型，</w:t>
      </w:r>
      <w:r w:rsidR="00207F80">
        <w:rPr>
          <w:rFonts w:hint="eastAsia"/>
          <w:szCs w:val="21"/>
        </w:rPr>
        <w:t>扎实做好</w:t>
      </w:r>
      <w:r w:rsidR="00127112" w:rsidRPr="00127112">
        <w:rPr>
          <w:rFonts w:hint="eastAsia"/>
          <w:szCs w:val="21"/>
        </w:rPr>
        <w:t>稳就业、稳金融、稳外贸、稳外资、稳投资、稳预期</w:t>
      </w:r>
      <w:r w:rsidR="00207F80">
        <w:rPr>
          <w:rFonts w:hint="eastAsia"/>
          <w:szCs w:val="21"/>
        </w:rPr>
        <w:t>工作</w:t>
      </w:r>
      <w:r w:rsidR="00BE3319">
        <w:rPr>
          <w:rFonts w:hint="eastAsia"/>
          <w:szCs w:val="21"/>
        </w:rPr>
        <w:t>。全市</w:t>
      </w:r>
      <w:r w:rsidR="00127112" w:rsidRPr="00127112">
        <w:rPr>
          <w:rFonts w:hint="eastAsia"/>
          <w:szCs w:val="21"/>
        </w:rPr>
        <w:t>经济运行总体平稳，</w:t>
      </w:r>
      <w:r w:rsidR="00207F80">
        <w:rPr>
          <w:rFonts w:hint="eastAsia"/>
          <w:szCs w:val="21"/>
        </w:rPr>
        <w:t>发展质量稳步提升，</w:t>
      </w:r>
      <w:r w:rsidR="00400045" w:rsidRPr="00965895">
        <w:rPr>
          <w:rFonts w:hint="eastAsia"/>
          <w:szCs w:val="21"/>
        </w:rPr>
        <w:t>精准脱贫、污染防治</w:t>
      </w:r>
      <w:r w:rsidR="00400045">
        <w:rPr>
          <w:rFonts w:hint="eastAsia"/>
          <w:szCs w:val="21"/>
        </w:rPr>
        <w:t>、</w:t>
      </w:r>
      <w:r w:rsidR="00965895" w:rsidRPr="00965895">
        <w:rPr>
          <w:rFonts w:hint="eastAsia"/>
          <w:szCs w:val="21"/>
        </w:rPr>
        <w:t>防范化解重大风险</w:t>
      </w:r>
      <w:r w:rsidR="00403720" w:rsidRPr="00EF2A88">
        <w:rPr>
          <w:rFonts w:hint="eastAsia"/>
          <w:szCs w:val="21"/>
        </w:rPr>
        <w:t>三大攻坚战</w:t>
      </w:r>
      <w:r w:rsidR="00403720">
        <w:rPr>
          <w:rFonts w:hint="eastAsia"/>
          <w:szCs w:val="21"/>
        </w:rPr>
        <w:t>成效显著</w:t>
      </w:r>
      <w:r w:rsidR="00403720" w:rsidRPr="00EF2A88">
        <w:rPr>
          <w:rFonts w:hint="eastAsia"/>
          <w:szCs w:val="21"/>
        </w:rPr>
        <w:t>，</w:t>
      </w:r>
      <w:r w:rsidR="00207F80">
        <w:rPr>
          <w:rFonts w:hint="eastAsia"/>
          <w:szCs w:val="21"/>
        </w:rPr>
        <w:t>人民</w:t>
      </w:r>
      <w:r w:rsidR="00400045">
        <w:rPr>
          <w:rFonts w:hint="eastAsia"/>
          <w:szCs w:val="21"/>
        </w:rPr>
        <w:t>生活</w:t>
      </w:r>
      <w:r w:rsidR="00207F80">
        <w:rPr>
          <w:rFonts w:hint="eastAsia"/>
          <w:szCs w:val="21"/>
        </w:rPr>
        <w:t>福祉持续增进，</w:t>
      </w:r>
      <w:r w:rsidR="00077842">
        <w:rPr>
          <w:rFonts w:hint="eastAsia"/>
          <w:szCs w:val="21"/>
        </w:rPr>
        <w:t>生态环境</w:t>
      </w:r>
      <w:r w:rsidR="00003BEE">
        <w:rPr>
          <w:rFonts w:hint="eastAsia"/>
          <w:szCs w:val="21"/>
        </w:rPr>
        <w:t>和营商环境</w:t>
      </w:r>
      <w:r w:rsidR="00250318">
        <w:rPr>
          <w:rFonts w:hint="eastAsia"/>
          <w:szCs w:val="21"/>
        </w:rPr>
        <w:t>不断</w:t>
      </w:r>
      <w:r w:rsidR="00077842">
        <w:rPr>
          <w:rFonts w:hint="eastAsia"/>
          <w:szCs w:val="21"/>
        </w:rPr>
        <w:t>优化，</w:t>
      </w:r>
      <w:r w:rsidR="00207F80">
        <w:rPr>
          <w:rFonts w:hint="eastAsia"/>
          <w:szCs w:val="21"/>
        </w:rPr>
        <w:t>各项社会事业健康发展</w:t>
      </w:r>
      <w:r w:rsidR="00077842" w:rsidRPr="00EF2A88">
        <w:rPr>
          <w:rFonts w:hint="eastAsia"/>
          <w:szCs w:val="21"/>
        </w:rPr>
        <w:t>。</w:t>
      </w:r>
    </w:p>
    <w:p w:rsidR="005D4CB7" w:rsidRPr="007A05D6" w:rsidRDefault="005D4CB7" w:rsidP="00AF2873">
      <w:pPr>
        <w:adjustRightInd w:val="0"/>
        <w:snapToGrid w:val="0"/>
        <w:spacing w:beforeLines="50" w:before="156" w:afterLines="50" w:after="156" w:line="440" w:lineRule="exact"/>
        <w:ind w:firstLineChars="200" w:firstLine="480"/>
        <w:rPr>
          <w:rFonts w:eastAsia="方正黑体简体"/>
          <w:sz w:val="24"/>
        </w:rPr>
      </w:pPr>
      <w:r w:rsidRPr="00AD7DCD">
        <w:rPr>
          <w:rFonts w:eastAsia="方正黑体简体" w:hint="eastAsia"/>
          <w:sz w:val="24"/>
        </w:rPr>
        <w:t>一、综合</w:t>
      </w:r>
    </w:p>
    <w:p w:rsidR="005D4CB7" w:rsidRDefault="005D4CB7" w:rsidP="005E28EC">
      <w:pPr>
        <w:widowControl/>
        <w:spacing w:line="440" w:lineRule="exact"/>
        <w:ind w:firstLineChars="200" w:firstLine="420"/>
        <w:jc w:val="left"/>
        <w:rPr>
          <w:szCs w:val="21"/>
        </w:rPr>
      </w:pPr>
      <w:r w:rsidRPr="007A05D6">
        <w:rPr>
          <w:rFonts w:hint="eastAsia"/>
          <w:szCs w:val="21"/>
        </w:rPr>
        <w:t>初步核算，</w:t>
      </w:r>
      <w:r w:rsidR="002D4517" w:rsidRPr="002D4517">
        <w:rPr>
          <w:rFonts w:hint="eastAsia"/>
          <w:szCs w:val="21"/>
        </w:rPr>
        <w:t>201</w:t>
      </w:r>
      <w:r w:rsidR="00AD7DCD">
        <w:rPr>
          <w:rFonts w:hint="eastAsia"/>
          <w:szCs w:val="21"/>
        </w:rPr>
        <w:t>9</w:t>
      </w:r>
      <w:r w:rsidR="002D4517" w:rsidRPr="002D4517">
        <w:rPr>
          <w:rFonts w:hint="eastAsia"/>
          <w:szCs w:val="21"/>
        </w:rPr>
        <w:t>年，</w:t>
      </w:r>
      <w:r w:rsidR="00AD7DCD" w:rsidRPr="002D4517">
        <w:rPr>
          <w:rFonts w:hint="eastAsia"/>
          <w:szCs w:val="21"/>
        </w:rPr>
        <w:t>全市生产总值</w:t>
      </w:r>
      <w:r w:rsidR="00AD7DCD">
        <w:rPr>
          <w:rFonts w:hint="eastAsia"/>
          <w:szCs w:val="21"/>
        </w:rPr>
        <w:t>972.9</w:t>
      </w:r>
      <w:r w:rsidR="00AD7DCD" w:rsidRPr="002D4517">
        <w:rPr>
          <w:rFonts w:hint="eastAsia"/>
          <w:szCs w:val="21"/>
        </w:rPr>
        <w:t>亿元（现价，下同），较上年增长</w:t>
      </w:r>
      <w:r w:rsidR="00AD7DCD" w:rsidRPr="002D4517">
        <w:rPr>
          <w:rFonts w:hint="eastAsia"/>
          <w:szCs w:val="21"/>
        </w:rPr>
        <w:t>6.</w:t>
      </w:r>
      <w:r w:rsidR="00AD7DCD">
        <w:rPr>
          <w:rFonts w:hint="eastAsia"/>
          <w:szCs w:val="21"/>
        </w:rPr>
        <w:t>1</w:t>
      </w:r>
      <w:r w:rsidR="00AD7DCD" w:rsidRPr="002D4517">
        <w:rPr>
          <w:rFonts w:hint="eastAsia"/>
          <w:szCs w:val="21"/>
        </w:rPr>
        <w:t>%</w:t>
      </w:r>
      <w:r w:rsidR="00AD7DCD" w:rsidRPr="002D4517">
        <w:rPr>
          <w:rFonts w:hint="eastAsia"/>
          <w:szCs w:val="21"/>
        </w:rPr>
        <w:t>（按可比价计算，下同），分三次产业看，第一产业增加值</w:t>
      </w:r>
      <w:r w:rsidR="00AD7DCD">
        <w:rPr>
          <w:rFonts w:hint="eastAsia"/>
          <w:szCs w:val="21"/>
        </w:rPr>
        <w:t>17.3</w:t>
      </w:r>
      <w:r w:rsidR="00AD7DCD" w:rsidRPr="002D4517">
        <w:rPr>
          <w:rFonts w:hint="eastAsia"/>
          <w:szCs w:val="21"/>
        </w:rPr>
        <w:t>亿元，增长</w:t>
      </w:r>
      <w:r w:rsidR="00AD7DCD">
        <w:rPr>
          <w:rFonts w:hint="eastAsia"/>
          <w:szCs w:val="21"/>
        </w:rPr>
        <w:t>3.7</w:t>
      </w:r>
      <w:r w:rsidR="00AD7DCD" w:rsidRPr="002D4517">
        <w:rPr>
          <w:rFonts w:hint="eastAsia"/>
          <w:szCs w:val="21"/>
        </w:rPr>
        <w:t>%</w:t>
      </w:r>
      <w:r w:rsidR="00AD7DCD" w:rsidRPr="002D4517">
        <w:rPr>
          <w:rFonts w:hint="eastAsia"/>
          <w:szCs w:val="21"/>
        </w:rPr>
        <w:t>；第二产业增加值</w:t>
      </w:r>
      <w:r w:rsidR="00AD7DCD">
        <w:rPr>
          <w:rFonts w:hint="eastAsia"/>
          <w:szCs w:val="21"/>
        </w:rPr>
        <w:t>669.7</w:t>
      </w:r>
      <w:r w:rsidR="00AD7DCD" w:rsidRPr="004B5D01">
        <w:rPr>
          <w:rFonts w:hint="eastAsia"/>
          <w:szCs w:val="21"/>
        </w:rPr>
        <w:t>亿元</w:t>
      </w:r>
      <w:r w:rsidR="00AD7DCD" w:rsidRPr="002D4517">
        <w:rPr>
          <w:rFonts w:hint="eastAsia"/>
          <w:szCs w:val="21"/>
        </w:rPr>
        <w:t>，</w:t>
      </w:r>
      <w:r w:rsidR="00AD7DCD">
        <w:rPr>
          <w:rFonts w:hint="eastAsia"/>
          <w:szCs w:val="21"/>
        </w:rPr>
        <w:t>增长</w:t>
      </w:r>
      <w:r w:rsidR="00AD7DCD">
        <w:rPr>
          <w:rFonts w:hint="eastAsia"/>
          <w:szCs w:val="21"/>
        </w:rPr>
        <w:t>2.5</w:t>
      </w:r>
      <w:r w:rsidR="00AD7DCD" w:rsidRPr="002D4517">
        <w:rPr>
          <w:rFonts w:hint="eastAsia"/>
          <w:szCs w:val="21"/>
        </w:rPr>
        <w:t>%</w:t>
      </w:r>
      <w:r w:rsidR="00AD7DCD" w:rsidRPr="002D4517">
        <w:rPr>
          <w:rFonts w:hint="eastAsia"/>
          <w:szCs w:val="21"/>
        </w:rPr>
        <w:t>；第三产业增加值</w:t>
      </w:r>
      <w:r w:rsidR="00AD7DCD">
        <w:rPr>
          <w:rFonts w:hint="eastAsia"/>
          <w:szCs w:val="21"/>
        </w:rPr>
        <w:t>285.9</w:t>
      </w:r>
      <w:r w:rsidR="00AD7DCD" w:rsidRPr="002D4517">
        <w:rPr>
          <w:rFonts w:hint="eastAsia"/>
          <w:szCs w:val="21"/>
        </w:rPr>
        <w:t>亿元，增长</w:t>
      </w:r>
      <w:r w:rsidR="00AD7DCD">
        <w:rPr>
          <w:rFonts w:hint="eastAsia"/>
          <w:szCs w:val="21"/>
        </w:rPr>
        <w:t>13.0</w:t>
      </w:r>
      <w:r w:rsidR="00AD7DCD" w:rsidRPr="002D4517">
        <w:rPr>
          <w:rFonts w:hint="eastAsia"/>
          <w:szCs w:val="21"/>
        </w:rPr>
        <w:t>%</w:t>
      </w:r>
      <w:r w:rsidR="00AD7DCD" w:rsidRPr="002D4517">
        <w:rPr>
          <w:rFonts w:hint="eastAsia"/>
          <w:szCs w:val="21"/>
        </w:rPr>
        <w:t>。三次产业结构比例为</w:t>
      </w:r>
      <w:r w:rsidR="00AD7DCD">
        <w:rPr>
          <w:rFonts w:hint="eastAsia"/>
          <w:szCs w:val="21"/>
        </w:rPr>
        <w:t>1.</w:t>
      </w:r>
      <w:r w:rsidR="005A4E23">
        <w:rPr>
          <w:rFonts w:hint="eastAsia"/>
          <w:szCs w:val="21"/>
        </w:rPr>
        <w:t>7</w:t>
      </w:r>
      <w:r w:rsidR="00AD7DCD">
        <w:rPr>
          <w:rFonts w:hint="eastAsia"/>
          <w:szCs w:val="21"/>
        </w:rPr>
        <w:t>8</w:t>
      </w:r>
      <w:r w:rsidR="00AD7DCD" w:rsidRPr="002D4517">
        <w:rPr>
          <w:rFonts w:hint="eastAsia"/>
          <w:szCs w:val="21"/>
        </w:rPr>
        <w:t>:</w:t>
      </w:r>
      <w:r w:rsidR="00AD7DCD">
        <w:rPr>
          <w:rFonts w:hint="eastAsia"/>
          <w:szCs w:val="21"/>
        </w:rPr>
        <w:t>68.8</w:t>
      </w:r>
      <w:r w:rsidR="005A4E23">
        <w:rPr>
          <w:rFonts w:hint="eastAsia"/>
          <w:szCs w:val="21"/>
        </w:rPr>
        <w:t>3</w:t>
      </w:r>
      <w:r w:rsidR="00AD7DCD" w:rsidRPr="002D4517">
        <w:rPr>
          <w:rFonts w:hint="eastAsia"/>
          <w:szCs w:val="21"/>
        </w:rPr>
        <w:t>:</w:t>
      </w:r>
      <w:r w:rsidR="00AD7DCD">
        <w:rPr>
          <w:rFonts w:hint="eastAsia"/>
          <w:szCs w:val="21"/>
        </w:rPr>
        <w:t>29.</w:t>
      </w:r>
      <w:r w:rsidR="005A4E23">
        <w:rPr>
          <w:rFonts w:hint="eastAsia"/>
          <w:szCs w:val="21"/>
        </w:rPr>
        <w:t>39</w:t>
      </w:r>
      <w:r w:rsidR="00AD7DCD" w:rsidRPr="002D4517">
        <w:rPr>
          <w:rFonts w:hint="eastAsia"/>
          <w:szCs w:val="21"/>
        </w:rPr>
        <w:t>。</w:t>
      </w:r>
    </w:p>
    <w:p w:rsidR="00465593" w:rsidRPr="007A05D6" w:rsidRDefault="00465593" w:rsidP="005E28EC">
      <w:pPr>
        <w:widowControl/>
        <w:spacing w:line="440" w:lineRule="exact"/>
        <w:ind w:firstLineChars="200" w:firstLine="420"/>
        <w:jc w:val="left"/>
        <w:rPr>
          <w:szCs w:val="21"/>
        </w:rPr>
      </w:pPr>
    </w:p>
    <w:p w:rsidR="008D28E0" w:rsidRPr="007A05D6" w:rsidRDefault="009F1E68" w:rsidP="00AA5926">
      <w:pPr>
        <w:widowControl/>
        <w:ind w:firstLineChars="200" w:firstLine="420"/>
        <w:jc w:val="center"/>
        <w:rPr>
          <w:szCs w:val="21"/>
        </w:rPr>
      </w:pPr>
      <w:r w:rsidRPr="009F1E68">
        <w:rPr>
          <w:noProof/>
          <w:szCs w:val="21"/>
        </w:rPr>
        <w:drawing>
          <wp:inline distT="0" distB="0" distL="0" distR="0">
            <wp:extent cx="4772025" cy="2905125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5593" w:rsidRDefault="00465593" w:rsidP="00AF2873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eastAsia="方正黑体简体"/>
          <w:sz w:val="24"/>
        </w:rPr>
      </w:pPr>
    </w:p>
    <w:p w:rsidR="00E22046" w:rsidRPr="007A05D6" w:rsidRDefault="00E22046" w:rsidP="00AF2873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szCs w:val="21"/>
        </w:rPr>
      </w:pPr>
      <w:r w:rsidRPr="007A05D6">
        <w:rPr>
          <w:rFonts w:eastAsia="方正黑体简体" w:hint="eastAsia"/>
          <w:sz w:val="24"/>
        </w:rPr>
        <w:lastRenderedPageBreak/>
        <w:t>二、农业</w:t>
      </w:r>
    </w:p>
    <w:p w:rsidR="00AD7DCD" w:rsidRPr="007A05D6" w:rsidRDefault="00EC63AA" w:rsidP="00AD7DCD">
      <w:pPr>
        <w:adjustRightInd w:val="0"/>
        <w:snapToGrid w:val="0"/>
        <w:spacing w:line="400" w:lineRule="exact"/>
        <w:ind w:firstLineChars="200" w:firstLine="420"/>
        <w:rPr>
          <w:rFonts w:eastAsia="方正宋黑简体"/>
          <w:color w:val="000000"/>
          <w:kern w:val="21"/>
          <w:sz w:val="24"/>
        </w:rPr>
      </w:pPr>
      <w:r w:rsidRPr="00825A99">
        <w:rPr>
          <w:rFonts w:hint="eastAsia"/>
          <w:szCs w:val="21"/>
        </w:rPr>
        <w:t>全年</w:t>
      </w:r>
      <w:r w:rsidR="00AD7DCD" w:rsidRPr="00825A99">
        <w:rPr>
          <w:rFonts w:hint="eastAsia"/>
          <w:szCs w:val="21"/>
        </w:rPr>
        <w:t>实现农林牧渔业增加值</w:t>
      </w:r>
      <w:r w:rsidR="00AD7DCD" w:rsidRPr="00825A99">
        <w:rPr>
          <w:rFonts w:hint="eastAsia"/>
          <w:szCs w:val="21"/>
        </w:rPr>
        <w:t>5.</w:t>
      </w:r>
      <w:r w:rsidR="00AD7DCD">
        <w:rPr>
          <w:rFonts w:hint="eastAsia"/>
          <w:szCs w:val="21"/>
        </w:rPr>
        <w:t>8</w:t>
      </w:r>
      <w:r w:rsidR="00AD7DCD" w:rsidRPr="00825A99">
        <w:rPr>
          <w:rFonts w:hint="eastAsia"/>
          <w:szCs w:val="21"/>
        </w:rPr>
        <w:t>0</w:t>
      </w:r>
      <w:r w:rsidR="00AD7DCD" w:rsidRPr="00825A99">
        <w:rPr>
          <w:rFonts w:hint="eastAsia"/>
          <w:szCs w:val="21"/>
        </w:rPr>
        <w:t>亿元（现价，</w:t>
      </w:r>
      <w:r w:rsidR="00AD7DCD" w:rsidRPr="00EC63AA">
        <w:rPr>
          <w:rFonts w:hint="eastAsia"/>
          <w:szCs w:val="21"/>
        </w:rPr>
        <w:t>下同），按可比价计算，比上年增长</w:t>
      </w:r>
      <w:r w:rsidR="00AD7DCD">
        <w:rPr>
          <w:rFonts w:hint="eastAsia"/>
          <w:szCs w:val="21"/>
        </w:rPr>
        <w:t>3.1</w:t>
      </w:r>
      <w:r w:rsidR="00AD7DCD" w:rsidRPr="00EC63AA">
        <w:rPr>
          <w:rFonts w:hint="eastAsia"/>
          <w:szCs w:val="21"/>
        </w:rPr>
        <w:t>%</w:t>
      </w:r>
      <w:r w:rsidR="00AD7DCD" w:rsidRPr="00EC63AA">
        <w:rPr>
          <w:rFonts w:hint="eastAsia"/>
          <w:szCs w:val="21"/>
        </w:rPr>
        <w:t>。其中，农业增加值</w:t>
      </w:r>
      <w:r w:rsidR="00AD7DCD" w:rsidRPr="00EC63AA">
        <w:rPr>
          <w:rFonts w:hint="eastAsia"/>
          <w:szCs w:val="21"/>
        </w:rPr>
        <w:t>2.5</w:t>
      </w:r>
      <w:r w:rsidR="00AD7DCD">
        <w:rPr>
          <w:rFonts w:hint="eastAsia"/>
          <w:szCs w:val="21"/>
        </w:rPr>
        <w:t>1</w:t>
      </w:r>
      <w:r w:rsidR="00AD7DCD" w:rsidRPr="00EC63AA">
        <w:rPr>
          <w:rFonts w:hint="eastAsia"/>
          <w:szCs w:val="21"/>
        </w:rPr>
        <w:t>亿元，</w:t>
      </w:r>
      <w:r w:rsidR="00AD7DCD">
        <w:rPr>
          <w:rFonts w:hint="eastAsia"/>
          <w:szCs w:val="21"/>
        </w:rPr>
        <w:t>增长</w:t>
      </w:r>
      <w:r w:rsidR="00AD7DCD">
        <w:rPr>
          <w:rFonts w:hint="eastAsia"/>
          <w:szCs w:val="21"/>
        </w:rPr>
        <w:t>5.8</w:t>
      </w:r>
      <w:r w:rsidR="00AD7DCD" w:rsidRPr="00EC63AA">
        <w:rPr>
          <w:rFonts w:hint="eastAsia"/>
          <w:szCs w:val="21"/>
        </w:rPr>
        <w:t>%</w:t>
      </w:r>
      <w:r w:rsidR="00AD7DCD" w:rsidRPr="00EC63AA">
        <w:rPr>
          <w:rFonts w:hint="eastAsia"/>
          <w:szCs w:val="21"/>
        </w:rPr>
        <w:t>；林业增加值</w:t>
      </w:r>
      <w:r w:rsidR="00AD7DCD">
        <w:rPr>
          <w:rFonts w:hint="eastAsia"/>
          <w:szCs w:val="21"/>
        </w:rPr>
        <w:t>0.73</w:t>
      </w:r>
      <w:r w:rsidR="00AD7DCD" w:rsidRPr="00EC63AA">
        <w:rPr>
          <w:rFonts w:hint="eastAsia"/>
          <w:szCs w:val="21"/>
        </w:rPr>
        <w:t>亿元，下降</w:t>
      </w:r>
      <w:r w:rsidR="00AD7DCD">
        <w:rPr>
          <w:rFonts w:hint="eastAsia"/>
          <w:szCs w:val="21"/>
        </w:rPr>
        <w:t>13.5</w:t>
      </w:r>
      <w:r w:rsidR="00AD7DCD" w:rsidRPr="00EC63AA">
        <w:rPr>
          <w:rFonts w:hint="eastAsia"/>
          <w:szCs w:val="21"/>
        </w:rPr>
        <w:t>%</w:t>
      </w:r>
      <w:r w:rsidR="00AD7DCD" w:rsidRPr="00EC63AA">
        <w:rPr>
          <w:rFonts w:hint="eastAsia"/>
          <w:szCs w:val="21"/>
        </w:rPr>
        <w:t>；畜牧业增加值</w:t>
      </w:r>
      <w:r w:rsidR="00AD7DCD">
        <w:rPr>
          <w:rFonts w:hint="eastAsia"/>
          <w:szCs w:val="21"/>
        </w:rPr>
        <w:t>1.99</w:t>
      </w:r>
      <w:r w:rsidR="00AD7DCD" w:rsidRPr="00EC63AA">
        <w:rPr>
          <w:rFonts w:hint="eastAsia"/>
          <w:szCs w:val="21"/>
        </w:rPr>
        <w:t>亿元，增长</w:t>
      </w:r>
      <w:r w:rsidR="00AD7DCD">
        <w:rPr>
          <w:rFonts w:hint="eastAsia"/>
          <w:szCs w:val="21"/>
        </w:rPr>
        <w:t>9.0</w:t>
      </w:r>
      <w:r w:rsidR="00AD7DCD" w:rsidRPr="00EC63AA">
        <w:rPr>
          <w:rFonts w:hint="eastAsia"/>
          <w:szCs w:val="21"/>
        </w:rPr>
        <w:t>%</w:t>
      </w:r>
      <w:r w:rsidR="00AD7DCD" w:rsidRPr="00EC63AA">
        <w:rPr>
          <w:rFonts w:hint="eastAsia"/>
          <w:szCs w:val="21"/>
        </w:rPr>
        <w:t>；渔业增加值</w:t>
      </w:r>
      <w:r w:rsidR="00AD7DCD" w:rsidRPr="00EC63AA">
        <w:rPr>
          <w:rFonts w:hint="eastAsia"/>
          <w:szCs w:val="21"/>
        </w:rPr>
        <w:t>0.0</w:t>
      </w:r>
      <w:r w:rsidR="00AD7DCD">
        <w:rPr>
          <w:rFonts w:hint="eastAsia"/>
          <w:szCs w:val="21"/>
        </w:rPr>
        <w:t>8</w:t>
      </w:r>
      <w:r w:rsidR="00AD7DCD" w:rsidRPr="00EC63AA">
        <w:rPr>
          <w:rFonts w:hint="eastAsia"/>
          <w:szCs w:val="21"/>
        </w:rPr>
        <w:t>亿元，</w:t>
      </w:r>
      <w:r w:rsidR="00AD7DCD">
        <w:rPr>
          <w:rFonts w:hint="eastAsia"/>
          <w:szCs w:val="21"/>
        </w:rPr>
        <w:t>下降</w:t>
      </w:r>
      <w:r w:rsidR="00AD7DCD">
        <w:rPr>
          <w:rFonts w:hint="eastAsia"/>
          <w:szCs w:val="21"/>
        </w:rPr>
        <w:t>15.8</w:t>
      </w:r>
      <w:r w:rsidR="00AD7DCD" w:rsidRPr="00EC63AA">
        <w:rPr>
          <w:rFonts w:hint="eastAsia"/>
          <w:szCs w:val="21"/>
        </w:rPr>
        <w:t>%</w:t>
      </w:r>
      <w:r w:rsidR="00AD7DCD" w:rsidRPr="00EC63AA">
        <w:rPr>
          <w:rFonts w:hint="eastAsia"/>
          <w:szCs w:val="21"/>
        </w:rPr>
        <w:t>。</w:t>
      </w:r>
    </w:p>
    <w:p w:rsidR="00B72026" w:rsidRPr="00AD7DCD" w:rsidRDefault="00B72026" w:rsidP="00AD7DCD">
      <w:pPr>
        <w:adjustRightInd w:val="0"/>
        <w:snapToGrid w:val="0"/>
        <w:spacing w:line="400" w:lineRule="exact"/>
        <w:ind w:firstLineChars="200" w:firstLine="480"/>
        <w:rPr>
          <w:rFonts w:eastAsia="方正宋黑简体"/>
          <w:color w:val="000000"/>
          <w:kern w:val="21"/>
          <w:sz w:val="24"/>
        </w:rPr>
      </w:pPr>
    </w:p>
    <w:p w:rsidR="005D4CB7" w:rsidRDefault="005D4CB7" w:rsidP="005D4CB7">
      <w:pPr>
        <w:adjustRightInd w:val="0"/>
        <w:snapToGrid w:val="0"/>
        <w:spacing w:line="400" w:lineRule="exact"/>
        <w:ind w:firstLineChars="200" w:firstLine="480"/>
        <w:jc w:val="center"/>
        <w:rPr>
          <w:rFonts w:eastAsia="方正宋黑简体"/>
          <w:color w:val="000000"/>
          <w:kern w:val="21"/>
          <w:sz w:val="24"/>
        </w:rPr>
      </w:pPr>
      <w:r w:rsidRPr="007A05D6">
        <w:rPr>
          <w:rFonts w:eastAsia="方正宋黑简体" w:hint="eastAsia"/>
          <w:color w:val="000000"/>
          <w:kern w:val="21"/>
          <w:sz w:val="24"/>
        </w:rPr>
        <w:t>主要农畜产品产量及牲畜存出栏情况</w:t>
      </w:r>
    </w:p>
    <w:tbl>
      <w:tblPr>
        <w:tblW w:w="9786" w:type="dxa"/>
        <w:jc w:val="center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26"/>
        <w:gridCol w:w="770"/>
        <w:gridCol w:w="1047"/>
        <w:gridCol w:w="1048"/>
        <w:gridCol w:w="1997"/>
        <w:gridCol w:w="844"/>
        <w:gridCol w:w="1077"/>
        <w:gridCol w:w="1077"/>
      </w:tblGrid>
      <w:tr w:rsidR="00AD7DCD" w:rsidRPr="007A05D6" w:rsidTr="002164DF">
        <w:trPr>
          <w:trHeight w:hRule="exact" w:val="567"/>
          <w:jc w:val="center"/>
        </w:trPr>
        <w:tc>
          <w:tcPr>
            <w:tcW w:w="192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产量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比上年</w:t>
            </w:r>
          </w:p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增长</w:t>
            </w:r>
            <w:r w:rsidRPr="007A05D6">
              <w:rPr>
                <w:color w:val="000000"/>
                <w:szCs w:val="21"/>
              </w:rPr>
              <w:t>(%)</w:t>
            </w:r>
          </w:p>
        </w:tc>
        <w:tc>
          <w:tcPr>
            <w:tcW w:w="199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产量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color w:val="000000"/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比上年</w:t>
            </w:r>
          </w:p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增长</w:t>
            </w:r>
            <w:r w:rsidRPr="007A05D6">
              <w:rPr>
                <w:color w:val="000000"/>
                <w:szCs w:val="21"/>
              </w:rPr>
              <w:t>(%)</w:t>
            </w:r>
          </w:p>
        </w:tc>
      </w:tr>
      <w:tr w:rsidR="00AD7DCD" w:rsidRPr="007A05D6" w:rsidTr="002164DF">
        <w:trPr>
          <w:trHeight w:hRule="exact" w:val="340"/>
          <w:jc w:val="center"/>
        </w:trPr>
        <w:tc>
          <w:tcPr>
            <w:tcW w:w="19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50" w:left="105" w:rightChars="-50" w:right="-105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粮食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吨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23896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78.1</w:t>
            </w:r>
          </w:p>
        </w:tc>
        <w:tc>
          <w:tcPr>
            <w:tcW w:w="1997" w:type="dxa"/>
            <w:tcBorders>
              <w:top w:val="single" w:sz="6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</w:pPr>
            <w:r w:rsidRPr="007A05D6">
              <w:rPr>
                <w:rFonts w:hint="eastAsia"/>
              </w:rPr>
              <w:t>水产品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jc w:val="center"/>
            </w:pPr>
            <w:r w:rsidRPr="007A05D6">
              <w:rPr>
                <w:rFonts w:hint="eastAsia"/>
              </w:rPr>
              <w:t>吨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954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-12.4</w:t>
            </w:r>
          </w:p>
        </w:tc>
      </w:tr>
      <w:tr w:rsidR="00AD7DCD" w:rsidRPr="007A05D6" w:rsidTr="002164DF">
        <w:trPr>
          <w:trHeight w:hRule="exact" w:val="340"/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50" w:left="105" w:rightChars="-50" w:right="-105" w:firstLineChars="50" w:firstLine="105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其中：小麦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吨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-38.7</w:t>
            </w:r>
          </w:p>
        </w:tc>
        <w:tc>
          <w:tcPr>
            <w:tcW w:w="199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</w:pPr>
            <w:r w:rsidRPr="007A05D6">
              <w:rPr>
                <w:rFonts w:hint="eastAsia"/>
              </w:rPr>
              <w:t>牲畜存栏头数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jc w:val="center"/>
            </w:pPr>
            <w:r w:rsidRPr="007A05D6">
              <w:rPr>
                <w:rFonts w:hint="eastAsia"/>
              </w:rPr>
              <w:t>万头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12.67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0.3</w:t>
            </w:r>
          </w:p>
        </w:tc>
      </w:tr>
      <w:tr w:rsidR="00AD7DCD" w:rsidRPr="007A05D6" w:rsidTr="002164DF">
        <w:trPr>
          <w:trHeight w:hRule="exact" w:val="340"/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50" w:left="105" w:rightChars="-50" w:right="-105" w:firstLineChars="350" w:firstLine="735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玉米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吨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21484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68.2</w:t>
            </w:r>
          </w:p>
        </w:tc>
        <w:tc>
          <w:tcPr>
            <w:tcW w:w="199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</w:pPr>
            <w:r w:rsidRPr="007A05D6">
              <w:rPr>
                <w:rFonts w:hint="eastAsia"/>
              </w:rPr>
              <w:t>其中：大畜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jc w:val="center"/>
            </w:pPr>
            <w:r w:rsidRPr="007A05D6">
              <w:rPr>
                <w:rFonts w:hint="eastAsia"/>
              </w:rPr>
              <w:t>万头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1.36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19.2</w:t>
            </w:r>
          </w:p>
        </w:tc>
      </w:tr>
      <w:tr w:rsidR="00AD7DCD" w:rsidRPr="007A05D6" w:rsidTr="002164DF">
        <w:trPr>
          <w:trHeight w:hRule="exact" w:val="340"/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50" w:left="105" w:rightChars="-50" w:right="-105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棉花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吨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20403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</w:p>
        </w:tc>
        <w:tc>
          <w:tcPr>
            <w:tcW w:w="199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firstLineChars="300" w:firstLine="630"/>
            </w:pPr>
            <w:r w:rsidRPr="007A05D6">
              <w:rPr>
                <w:rFonts w:hint="eastAsia"/>
              </w:rPr>
              <w:t>猪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jc w:val="center"/>
            </w:pPr>
            <w:r w:rsidRPr="007A05D6">
              <w:rPr>
                <w:rFonts w:hint="eastAsia"/>
              </w:rPr>
              <w:t>万头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5.70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6.4</w:t>
            </w:r>
          </w:p>
        </w:tc>
      </w:tr>
      <w:tr w:rsidR="00AD7DCD" w:rsidRPr="007A05D6" w:rsidTr="002164DF">
        <w:trPr>
          <w:trHeight w:hRule="exact" w:val="340"/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50" w:left="105" w:rightChars="-50" w:right="-105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蔬菜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吨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27830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47.8</w:t>
            </w:r>
          </w:p>
        </w:tc>
        <w:tc>
          <w:tcPr>
            <w:tcW w:w="199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firstLineChars="300" w:firstLine="630"/>
            </w:pPr>
            <w:r w:rsidRPr="007A05D6">
              <w:rPr>
                <w:rFonts w:hint="eastAsia"/>
              </w:rPr>
              <w:t>羊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jc w:val="center"/>
            </w:pPr>
            <w:r w:rsidRPr="007A05D6">
              <w:rPr>
                <w:rFonts w:hint="eastAsia"/>
              </w:rPr>
              <w:t>万只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5.61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-8.6</w:t>
            </w:r>
          </w:p>
        </w:tc>
      </w:tr>
      <w:tr w:rsidR="00AD7DCD" w:rsidRPr="007A05D6" w:rsidTr="002164DF">
        <w:trPr>
          <w:trHeight w:hRule="exact" w:val="340"/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50" w:left="105" w:rightChars="-50" w:right="-105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瓜果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吨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2981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-41.0</w:t>
            </w:r>
          </w:p>
        </w:tc>
        <w:tc>
          <w:tcPr>
            <w:tcW w:w="199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</w:pPr>
            <w:r w:rsidRPr="007A05D6">
              <w:rPr>
                <w:rFonts w:hint="eastAsia"/>
              </w:rPr>
              <w:t>牲畜出栏头数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jc w:val="center"/>
            </w:pPr>
            <w:r w:rsidRPr="007A05D6">
              <w:rPr>
                <w:rFonts w:hint="eastAsia"/>
              </w:rPr>
              <w:t>万头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14.96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5.7</w:t>
            </w:r>
          </w:p>
        </w:tc>
      </w:tr>
      <w:tr w:rsidR="00AD7DCD" w:rsidRPr="007A05D6" w:rsidTr="002164DF">
        <w:trPr>
          <w:trHeight w:hRule="exact" w:val="340"/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50" w:left="105" w:rightChars="-50" w:right="-105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肉类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吨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10349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22.2</w:t>
            </w:r>
          </w:p>
        </w:tc>
        <w:tc>
          <w:tcPr>
            <w:tcW w:w="199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</w:pPr>
            <w:r w:rsidRPr="007A05D6">
              <w:rPr>
                <w:rFonts w:hint="eastAsia"/>
              </w:rPr>
              <w:t>其中：大畜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jc w:val="center"/>
            </w:pPr>
            <w:r w:rsidRPr="007A05D6">
              <w:rPr>
                <w:rFonts w:hint="eastAsia"/>
              </w:rPr>
              <w:t>万头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0.66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26.7</w:t>
            </w:r>
          </w:p>
        </w:tc>
      </w:tr>
      <w:tr w:rsidR="00AD7DCD" w:rsidRPr="007A05D6" w:rsidTr="002164DF">
        <w:trPr>
          <w:trHeight w:hRule="exact" w:val="340"/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50" w:left="105" w:rightChars="-50" w:right="-105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禽蛋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吨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1558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53.4</w:t>
            </w:r>
          </w:p>
        </w:tc>
        <w:tc>
          <w:tcPr>
            <w:tcW w:w="199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firstLineChars="300" w:firstLine="630"/>
            </w:pPr>
            <w:r w:rsidRPr="007A05D6">
              <w:rPr>
                <w:rFonts w:hint="eastAsia"/>
              </w:rPr>
              <w:t>猪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jc w:val="center"/>
            </w:pPr>
            <w:r w:rsidRPr="007A05D6">
              <w:rPr>
                <w:rFonts w:hint="eastAsia"/>
              </w:rPr>
              <w:t>万头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8.57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7.8</w:t>
            </w:r>
          </w:p>
        </w:tc>
      </w:tr>
      <w:tr w:rsidR="00AD7DCD" w:rsidRPr="007A05D6" w:rsidTr="002164DF">
        <w:trPr>
          <w:trHeight w:hRule="exact" w:val="340"/>
          <w:jc w:val="center"/>
        </w:trPr>
        <w:tc>
          <w:tcPr>
            <w:tcW w:w="1926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50" w:left="105" w:rightChars="-50" w:right="-105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牛奶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吨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17176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12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15.1</w:t>
            </w:r>
          </w:p>
        </w:tc>
        <w:tc>
          <w:tcPr>
            <w:tcW w:w="1997" w:type="dxa"/>
            <w:tcBorders>
              <w:top w:val="nil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ind w:firstLineChars="300" w:firstLine="630"/>
            </w:pPr>
            <w:r w:rsidRPr="007A05D6">
              <w:rPr>
                <w:rFonts w:hint="eastAsia"/>
              </w:rPr>
              <w:t>羊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D7DCD" w:rsidRPr="007A05D6" w:rsidRDefault="00AD7DCD" w:rsidP="002164DF">
            <w:pPr>
              <w:adjustRightInd w:val="0"/>
              <w:snapToGrid w:val="0"/>
              <w:jc w:val="center"/>
            </w:pPr>
            <w:r w:rsidRPr="007A05D6">
              <w:rPr>
                <w:rFonts w:hint="eastAsia"/>
              </w:rPr>
              <w:t>万只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5.72</w:t>
            </w:r>
          </w:p>
        </w:tc>
        <w:tc>
          <w:tcPr>
            <w:tcW w:w="1077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AD7DCD" w:rsidRPr="007A05D6" w:rsidRDefault="00AD7DCD" w:rsidP="002164D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0.8</w:t>
            </w:r>
          </w:p>
        </w:tc>
      </w:tr>
    </w:tbl>
    <w:p w:rsidR="00785505" w:rsidRPr="007A05D6" w:rsidRDefault="00785505" w:rsidP="00AF2873">
      <w:pPr>
        <w:adjustRightInd w:val="0"/>
        <w:snapToGrid w:val="0"/>
        <w:spacing w:beforeLines="50" w:before="156" w:afterLines="50" w:after="156" w:line="440" w:lineRule="exact"/>
        <w:ind w:firstLineChars="200" w:firstLine="480"/>
        <w:rPr>
          <w:rFonts w:eastAsia="方正黑体简体"/>
          <w:kern w:val="21"/>
          <w:sz w:val="24"/>
        </w:rPr>
      </w:pPr>
      <w:r w:rsidRPr="007A05D6">
        <w:rPr>
          <w:rFonts w:eastAsia="方正黑体简体" w:hint="eastAsia"/>
          <w:kern w:val="21"/>
          <w:sz w:val="24"/>
        </w:rPr>
        <w:t>三、工业</w:t>
      </w:r>
    </w:p>
    <w:p w:rsidR="00AD7DCD" w:rsidRPr="009A04AE" w:rsidRDefault="00734AAA" w:rsidP="00AD7DCD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全年</w:t>
      </w:r>
      <w:r w:rsidR="00AD7DCD" w:rsidRPr="009A04AE">
        <w:rPr>
          <w:rFonts w:hint="eastAsia"/>
          <w:szCs w:val="21"/>
        </w:rPr>
        <w:t>规模以上工业企业实现工业增加值</w:t>
      </w:r>
      <w:r w:rsidR="00AD7DCD" w:rsidRPr="009A04AE">
        <w:rPr>
          <w:rFonts w:hint="eastAsia"/>
          <w:szCs w:val="21"/>
        </w:rPr>
        <w:t>691.9</w:t>
      </w:r>
      <w:r w:rsidR="00AD7DCD" w:rsidRPr="009A04AE">
        <w:rPr>
          <w:rFonts w:hint="eastAsia"/>
          <w:szCs w:val="21"/>
        </w:rPr>
        <w:t>亿元（现价，下同），按可比价格计算，较上年增长</w:t>
      </w:r>
      <w:r w:rsidR="00AD7DCD" w:rsidRPr="009A04AE">
        <w:rPr>
          <w:rFonts w:hint="eastAsia"/>
          <w:szCs w:val="21"/>
        </w:rPr>
        <w:t>5.0%</w:t>
      </w:r>
      <w:r w:rsidR="00AD7DCD" w:rsidRPr="009A04AE">
        <w:rPr>
          <w:rFonts w:hint="eastAsia"/>
          <w:szCs w:val="21"/>
        </w:rPr>
        <w:t>。工业产品销售率为</w:t>
      </w:r>
      <w:r w:rsidR="00AD7DCD" w:rsidRPr="009A04AE">
        <w:rPr>
          <w:rFonts w:hint="eastAsia"/>
          <w:szCs w:val="21"/>
        </w:rPr>
        <w:t>100.3%</w:t>
      </w:r>
      <w:r w:rsidR="00AD7DCD" w:rsidRPr="009A04AE">
        <w:rPr>
          <w:rFonts w:hint="eastAsia"/>
          <w:szCs w:val="21"/>
        </w:rPr>
        <w:t>。其中，</w:t>
      </w:r>
      <w:r w:rsidR="00C9690D">
        <w:rPr>
          <w:rFonts w:hint="eastAsia"/>
          <w:szCs w:val="21"/>
        </w:rPr>
        <w:t>中央石油石化企业实现增加值</w:t>
      </w:r>
      <w:r w:rsidR="00C9690D">
        <w:rPr>
          <w:rFonts w:hint="eastAsia"/>
          <w:szCs w:val="21"/>
        </w:rPr>
        <w:t>636.1</w:t>
      </w:r>
      <w:r w:rsidR="00C9690D">
        <w:rPr>
          <w:rFonts w:hint="eastAsia"/>
          <w:szCs w:val="21"/>
        </w:rPr>
        <w:t>亿元，增长</w:t>
      </w:r>
      <w:r w:rsidR="00C9690D">
        <w:rPr>
          <w:rFonts w:hint="eastAsia"/>
          <w:szCs w:val="21"/>
        </w:rPr>
        <w:t>4.5%</w:t>
      </w:r>
      <w:r w:rsidR="00C9690D">
        <w:rPr>
          <w:rFonts w:hint="eastAsia"/>
          <w:szCs w:val="21"/>
        </w:rPr>
        <w:t>；</w:t>
      </w:r>
      <w:r w:rsidR="00AD7DCD" w:rsidRPr="009A04AE">
        <w:rPr>
          <w:rFonts w:hint="eastAsia"/>
          <w:szCs w:val="21"/>
        </w:rPr>
        <w:t>地方工业企业实现工业增加值</w:t>
      </w:r>
      <w:r w:rsidR="00AD7DCD" w:rsidRPr="009A04AE">
        <w:rPr>
          <w:rFonts w:hint="eastAsia"/>
          <w:szCs w:val="21"/>
        </w:rPr>
        <w:t>55.</w:t>
      </w:r>
      <w:r w:rsidR="006015C3">
        <w:rPr>
          <w:rFonts w:hint="eastAsia"/>
          <w:szCs w:val="21"/>
        </w:rPr>
        <w:t>8</w:t>
      </w:r>
      <w:r w:rsidR="00AD7DCD" w:rsidRPr="009A04AE">
        <w:rPr>
          <w:rFonts w:hint="eastAsia"/>
          <w:szCs w:val="21"/>
        </w:rPr>
        <w:t>亿元，增长</w:t>
      </w:r>
      <w:r w:rsidR="00AD7DCD" w:rsidRPr="009A04AE">
        <w:rPr>
          <w:rFonts w:hint="eastAsia"/>
          <w:szCs w:val="21"/>
        </w:rPr>
        <w:t>10.</w:t>
      </w:r>
      <w:r w:rsidR="006015C3">
        <w:rPr>
          <w:rFonts w:hint="eastAsia"/>
          <w:szCs w:val="21"/>
        </w:rPr>
        <w:t>3</w:t>
      </w:r>
      <w:r w:rsidR="00AD7DCD" w:rsidRPr="009A04AE">
        <w:rPr>
          <w:rFonts w:hint="eastAsia"/>
          <w:szCs w:val="21"/>
        </w:rPr>
        <w:t>%</w:t>
      </w:r>
      <w:r w:rsidR="00AD7DCD" w:rsidRPr="009A04AE">
        <w:rPr>
          <w:rFonts w:hint="eastAsia"/>
          <w:szCs w:val="21"/>
        </w:rPr>
        <w:t>，工业产品销售率为</w:t>
      </w:r>
      <w:r w:rsidR="00AD7DCD" w:rsidRPr="009A04AE">
        <w:rPr>
          <w:rFonts w:hint="eastAsia"/>
          <w:szCs w:val="21"/>
        </w:rPr>
        <w:t>98.99%</w:t>
      </w:r>
      <w:r w:rsidR="00AD7DCD" w:rsidRPr="009A04AE">
        <w:rPr>
          <w:rFonts w:hint="eastAsia"/>
          <w:szCs w:val="21"/>
        </w:rPr>
        <w:t>。</w:t>
      </w:r>
    </w:p>
    <w:p w:rsidR="005E28EC" w:rsidRPr="00AD7DCD" w:rsidRDefault="005E28EC" w:rsidP="005E28EC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</w:p>
    <w:p w:rsidR="00785505" w:rsidRDefault="00EB5804" w:rsidP="00785505">
      <w:pPr>
        <w:adjustRightInd w:val="0"/>
        <w:snapToGrid w:val="0"/>
        <w:ind w:firstLineChars="200" w:firstLine="420"/>
        <w:jc w:val="center"/>
        <w:rPr>
          <w:color w:val="FF0000"/>
          <w:szCs w:val="21"/>
        </w:rPr>
      </w:pPr>
      <w:r w:rsidRPr="00EB5804">
        <w:rPr>
          <w:noProof/>
          <w:color w:val="FF0000"/>
          <w:szCs w:val="21"/>
        </w:rPr>
        <w:drawing>
          <wp:inline distT="0" distB="0" distL="0" distR="0">
            <wp:extent cx="4791075" cy="2667000"/>
            <wp:effectExtent l="0" t="0" r="0" b="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7DCD" w:rsidRDefault="00AD7DCD" w:rsidP="00785505">
      <w:pPr>
        <w:adjustRightInd w:val="0"/>
        <w:snapToGrid w:val="0"/>
        <w:ind w:firstLineChars="200" w:firstLine="420"/>
        <w:jc w:val="center"/>
        <w:rPr>
          <w:color w:val="FF0000"/>
          <w:szCs w:val="21"/>
        </w:rPr>
      </w:pPr>
    </w:p>
    <w:p w:rsidR="00785505" w:rsidRPr="007A05D6" w:rsidRDefault="00785505" w:rsidP="00785505">
      <w:pPr>
        <w:adjustRightInd w:val="0"/>
        <w:snapToGrid w:val="0"/>
        <w:ind w:firstLineChars="200" w:firstLine="420"/>
        <w:jc w:val="center"/>
        <w:rPr>
          <w:noProof/>
          <w:color w:val="FF0000"/>
        </w:rPr>
      </w:pPr>
    </w:p>
    <w:p w:rsidR="005E28EC" w:rsidRPr="007A05D6" w:rsidRDefault="005E28EC" w:rsidP="00785505">
      <w:pPr>
        <w:adjustRightInd w:val="0"/>
        <w:snapToGrid w:val="0"/>
        <w:ind w:firstLineChars="200" w:firstLine="480"/>
        <w:jc w:val="center"/>
        <w:rPr>
          <w:rFonts w:eastAsia="方正宋黑简体"/>
          <w:kern w:val="21"/>
          <w:sz w:val="24"/>
        </w:rPr>
      </w:pPr>
    </w:p>
    <w:p w:rsidR="00785505" w:rsidRDefault="00785505" w:rsidP="00785505">
      <w:pPr>
        <w:adjustRightInd w:val="0"/>
        <w:snapToGrid w:val="0"/>
        <w:ind w:firstLineChars="200" w:firstLine="480"/>
        <w:jc w:val="center"/>
        <w:rPr>
          <w:rFonts w:eastAsia="方正宋黑简体"/>
          <w:kern w:val="21"/>
          <w:sz w:val="24"/>
        </w:rPr>
      </w:pPr>
      <w:r w:rsidRPr="007A05D6">
        <w:rPr>
          <w:rFonts w:eastAsia="方正宋黑简体" w:hint="eastAsia"/>
          <w:kern w:val="21"/>
          <w:sz w:val="24"/>
        </w:rPr>
        <w:lastRenderedPageBreak/>
        <w:t>规模以上工业主要产品产量及增速</w:t>
      </w:r>
    </w:p>
    <w:tbl>
      <w:tblPr>
        <w:tblW w:w="9763" w:type="dxa"/>
        <w:jc w:val="center"/>
        <w:tblLook w:val="04A0" w:firstRow="1" w:lastRow="0" w:firstColumn="1" w:lastColumn="0" w:noHBand="0" w:noVBand="1"/>
      </w:tblPr>
      <w:tblGrid>
        <w:gridCol w:w="1852"/>
        <w:gridCol w:w="1035"/>
        <w:gridCol w:w="1085"/>
        <w:gridCol w:w="1085"/>
        <w:gridCol w:w="1713"/>
        <w:gridCol w:w="963"/>
        <w:gridCol w:w="921"/>
        <w:gridCol w:w="1109"/>
      </w:tblGrid>
      <w:tr w:rsidR="00AD7DCD" w:rsidRPr="009A04AE" w:rsidTr="002164DF">
        <w:trPr>
          <w:trHeight w:hRule="exact" w:val="567"/>
          <w:jc w:val="center"/>
        </w:trPr>
        <w:tc>
          <w:tcPr>
            <w:tcW w:w="185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spacing w:line="260" w:lineRule="exact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产品名称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spacing w:line="260" w:lineRule="exact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单</w:t>
            </w:r>
            <w:r w:rsidRPr="009A04AE">
              <w:rPr>
                <w:kern w:val="0"/>
                <w:szCs w:val="21"/>
              </w:rPr>
              <w:t xml:space="preserve">  </w:t>
            </w:r>
            <w:r w:rsidRPr="009A04AE"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spacing w:line="260" w:lineRule="exact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产</w:t>
            </w:r>
            <w:r w:rsidRPr="009A04AE">
              <w:rPr>
                <w:kern w:val="0"/>
                <w:szCs w:val="21"/>
              </w:rPr>
              <w:t xml:space="preserve">  </w:t>
            </w:r>
            <w:r w:rsidRPr="009A04AE">
              <w:rPr>
                <w:rFonts w:hint="eastAsia"/>
                <w:kern w:val="0"/>
                <w:szCs w:val="21"/>
              </w:rPr>
              <w:t>量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spacing w:line="260" w:lineRule="exact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比上年</w:t>
            </w:r>
          </w:p>
          <w:p w:rsidR="00AD7DCD" w:rsidRPr="009A04AE" w:rsidRDefault="00AD7DCD" w:rsidP="002164DF">
            <w:pPr>
              <w:adjustRightInd w:val="0"/>
              <w:snapToGrid w:val="0"/>
              <w:spacing w:line="260" w:lineRule="exact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增长（</w:t>
            </w:r>
            <w:r w:rsidRPr="009A04AE">
              <w:rPr>
                <w:kern w:val="0"/>
                <w:szCs w:val="21"/>
              </w:rPr>
              <w:t>%</w:t>
            </w:r>
            <w:r w:rsidRPr="009A04AE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713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spacing w:line="260" w:lineRule="exact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产品名称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spacing w:line="260" w:lineRule="exact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单</w:t>
            </w:r>
            <w:r w:rsidRPr="009A04AE">
              <w:rPr>
                <w:kern w:val="0"/>
                <w:szCs w:val="21"/>
              </w:rPr>
              <w:t xml:space="preserve">  </w:t>
            </w:r>
            <w:r w:rsidRPr="009A04AE"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spacing w:line="260" w:lineRule="exact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产</w:t>
            </w:r>
            <w:r w:rsidRPr="009A04AE">
              <w:rPr>
                <w:kern w:val="0"/>
                <w:szCs w:val="21"/>
              </w:rPr>
              <w:t xml:space="preserve">  </w:t>
            </w:r>
            <w:r w:rsidRPr="009A04AE">
              <w:rPr>
                <w:rFonts w:hint="eastAsia"/>
                <w:kern w:val="0"/>
                <w:szCs w:val="21"/>
              </w:rPr>
              <w:t>量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spacing w:line="260" w:lineRule="exact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比上年</w:t>
            </w:r>
          </w:p>
          <w:p w:rsidR="00AD7DCD" w:rsidRPr="009A04AE" w:rsidRDefault="00AD7DCD" w:rsidP="002164DF">
            <w:pPr>
              <w:adjustRightInd w:val="0"/>
              <w:snapToGrid w:val="0"/>
              <w:spacing w:line="260" w:lineRule="exact"/>
              <w:ind w:leftChars="-50" w:left="-105" w:rightChars="-50" w:right="-105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增长（</w:t>
            </w:r>
            <w:r w:rsidRPr="009A04AE">
              <w:rPr>
                <w:kern w:val="0"/>
                <w:szCs w:val="21"/>
              </w:rPr>
              <w:t>%</w:t>
            </w:r>
            <w:r w:rsidRPr="009A04AE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AD7DCD" w:rsidRPr="009A04AE" w:rsidTr="002164DF">
        <w:trPr>
          <w:trHeight w:hRule="exact" w:val="369"/>
          <w:jc w:val="center"/>
        </w:trPr>
        <w:tc>
          <w:tcPr>
            <w:tcW w:w="18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/>
              <w:jc w:val="lef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天然原油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万吨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1247.0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8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8.7</w:t>
            </w:r>
          </w:p>
        </w:tc>
        <w:tc>
          <w:tcPr>
            <w:tcW w:w="1713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/>
              <w:jc w:val="lef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四大类产品产量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万吨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6015C3" w:rsidP="006015C3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709.1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6015C3" w:rsidP="006015C3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4.2</w:t>
            </w:r>
          </w:p>
        </w:tc>
      </w:tr>
      <w:tr w:rsidR="00AD7DCD" w:rsidRPr="009A04AE" w:rsidTr="002164DF">
        <w:trPr>
          <w:trHeight w:hRule="exact" w:val="369"/>
          <w:jc w:val="center"/>
        </w:trPr>
        <w:tc>
          <w:tcPr>
            <w:tcW w:w="18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/>
              <w:jc w:val="lef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天然气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kern w:val="0"/>
                <w:szCs w:val="21"/>
              </w:rPr>
            </w:pPr>
            <w:proofErr w:type="gramStart"/>
            <w:r w:rsidRPr="009A04AE">
              <w:rPr>
                <w:rFonts w:hint="eastAsia"/>
                <w:kern w:val="0"/>
                <w:szCs w:val="21"/>
              </w:rPr>
              <w:t>亿立方米</w:t>
            </w:r>
            <w:proofErr w:type="gramEnd"/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33.5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2.6</w:t>
            </w:r>
          </w:p>
        </w:tc>
        <w:tc>
          <w:tcPr>
            <w:tcW w:w="17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/>
              <w:jc w:val="lef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其中：汽油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万吨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230.5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14.4</w:t>
            </w:r>
          </w:p>
        </w:tc>
      </w:tr>
      <w:tr w:rsidR="00AD7DCD" w:rsidRPr="009A04AE" w:rsidTr="002164DF">
        <w:trPr>
          <w:trHeight w:hRule="exact" w:val="369"/>
          <w:jc w:val="center"/>
        </w:trPr>
        <w:tc>
          <w:tcPr>
            <w:tcW w:w="18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/>
              <w:jc w:val="lef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原油加工量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万吨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1190.4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-3.0</w:t>
            </w:r>
          </w:p>
        </w:tc>
        <w:tc>
          <w:tcPr>
            <w:tcW w:w="17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 w:firstLineChars="300" w:firstLine="630"/>
              <w:jc w:val="lef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煤油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万吨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69.3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11.8</w:t>
            </w:r>
          </w:p>
        </w:tc>
      </w:tr>
      <w:tr w:rsidR="00AD7DCD" w:rsidRPr="009A04AE" w:rsidTr="002164DF">
        <w:trPr>
          <w:trHeight w:hRule="exact" w:val="369"/>
          <w:jc w:val="center"/>
        </w:trPr>
        <w:tc>
          <w:tcPr>
            <w:tcW w:w="18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/>
              <w:jc w:val="lef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乙</w:t>
            </w:r>
            <w:r w:rsidRPr="009A04AE">
              <w:rPr>
                <w:kern w:val="0"/>
                <w:szCs w:val="21"/>
              </w:rPr>
              <w:t xml:space="preserve">  </w:t>
            </w:r>
            <w:r w:rsidRPr="009A04AE">
              <w:rPr>
                <w:rFonts w:hint="eastAsia"/>
                <w:kern w:val="0"/>
                <w:szCs w:val="21"/>
              </w:rPr>
              <w:t>烯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万吨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110.8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-15.9</w:t>
            </w:r>
          </w:p>
        </w:tc>
        <w:tc>
          <w:tcPr>
            <w:tcW w:w="17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 w:firstLineChars="300" w:firstLine="630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柴油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万吨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371.6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-1.7</w:t>
            </w:r>
          </w:p>
        </w:tc>
      </w:tr>
      <w:tr w:rsidR="00AD7DCD" w:rsidRPr="009A04AE" w:rsidTr="002164DF">
        <w:trPr>
          <w:trHeight w:hRule="exact" w:val="369"/>
          <w:jc w:val="center"/>
        </w:trPr>
        <w:tc>
          <w:tcPr>
            <w:tcW w:w="18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石油沥青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万吨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75.2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-11.1</w:t>
            </w:r>
          </w:p>
        </w:tc>
        <w:tc>
          <w:tcPr>
            <w:tcW w:w="17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 w:firstLineChars="300" w:firstLine="630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润滑油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万吨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37.7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-4.0</w:t>
            </w:r>
          </w:p>
        </w:tc>
      </w:tr>
      <w:tr w:rsidR="00AD7DCD" w:rsidRPr="009A04AE" w:rsidTr="002164DF">
        <w:trPr>
          <w:trHeight w:hRule="exact" w:val="369"/>
          <w:jc w:val="center"/>
        </w:trPr>
        <w:tc>
          <w:tcPr>
            <w:tcW w:w="185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液化石油气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万吨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31.3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5.1</w:t>
            </w:r>
          </w:p>
        </w:tc>
        <w:tc>
          <w:tcPr>
            <w:tcW w:w="1713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rightChars="-50" w:right="-105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聚丙烯树脂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="-50" w:right="-50"/>
              <w:jc w:val="center"/>
              <w:rPr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万吨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57.3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AD7DCD" w:rsidRPr="009A04AE" w:rsidRDefault="00AD7DCD" w:rsidP="002164DF">
            <w:pPr>
              <w:adjustRightInd w:val="0"/>
              <w:snapToGrid w:val="0"/>
              <w:ind w:leftChars="-50" w:left="-105" w:rightChars="50" w:right="105"/>
              <w:jc w:val="right"/>
              <w:rPr>
                <w:kern w:val="0"/>
                <w:szCs w:val="21"/>
              </w:rPr>
            </w:pPr>
            <w:r w:rsidRPr="009A04AE">
              <w:rPr>
                <w:rFonts w:hint="eastAsia"/>
                <w:kern w:val="0"/>
                <w:szCs w:val="21"/>
              </w:rPr>
              <w:t>-16.0</w:t>
            </w:r>
          </w:p>
        </w:tc>
      </w:tr>
    </w:tbl>
    <w:p w:rsidR="00AD7DCD" w:rsidRDefault="00AD7DCD" w:rsidP="00AD7DCD">
      <w:pPr>
        <w:adjustRightInd w:val="0"/>
        <w:snapToGrid w:val="0"/>
        <w:ind w:firstLineChars="200" w:firstLine="480"/>
        <w:jc w:val="center"/>
        <w:rPr>
          <w:rFonts w:eastAsia="方正宋黑简体"/>
          <w:kern w:val="21"/>
          <w:sz w:val="24"/>
        </w:rPr>
      </w:pPr>
    </w:p>
    <w:p w:rsidR="00AD7DCD" w:rsidRPr="009A04AE" w:rsidRDefault="00785505" w:rsidP="00AD7DCD">
      <w:pPr>
        <w:adjustRightInd w:val="0"/>
        <w:snapToGrid w:val="0"/>
        <w:spacing w:line="440" w:lineRule="exact"/>
        <w:ind w:firstLineChars="200" w:firstLine="420"/>
        <w:rPr>
          <w:bCs/>
          <w:snapToGrid w:val="0"/>
          <w:szCs w:val="21"/>
          <w:lang w:val="zh-CN"/>
        </w:rPr>
      </w:pPr>
      <w:r w:rsidRPr="007A05D6">
        <w:rPr>
          <w:rFonts w:hint="eastAsia"/>
          <w:bCs/>
          <w:snapToGrid w:val="0"/>
          <w:szCs w:val="21"/>
          <w:lang w:val="zh-CN"/>
        </w:rPr>
        <w:t>全市</w:t>
      </w:r>
      <w:r w:rsidR="00AD7DCD" w:rsidRPr="009A04AE">
        <w:rPr>
          <w:rFonts w:hint="eastAsia"/>
          <w:bCs/>
          <w:snapToGrid w:val="0"/>
          <w:szCs w:val="21"/>
          <w:lang w:val="zh-CN"/>
        </w:rPr>
        <w:t>规模以上工业企业实现主营业务收入</w:t>
      </w:r>
      <w:r w:rsidR="00AD7DCD" w:rsidRPr="009A04AE">
        <w:rPr>
          <w:rFonts w:hint="eastAsia"/>
          <w:bCs/>
          <w:snapToGrid w:val="0"/>
          <w:szCs w:val="21"/>
          <w:lang w:val="zh-CN"/>
        </w:rPr>
        <w:t>1657.3</w:t>
      </w:r>
      <w:r w:rsidR="00AD7DCD" w:rsidRPr="009A04AE">
        <w:rPr>
          <w:rFonts w:hint="eastAsia"/>
          <w:bCs/>
          <w:snapToGrid w:val="0"/>
          <w:szCs w:val="21"/>
          <w:lang w:val="zh-CN"/>
        </w:rPr>
        <w:t>亿元，增长</w:t>
      </w:r>
      <w:r w:rsidR="00AD7DCD" w:rsidRPr="009A04AE">
        <w:rPr>
          <w:rFonts w:hint="eastAsia"/>
          <w:bCs/>
          <w:snapToGrid w:val="0"/>
          <w:szCs w:val="21"/>
          <w:lang w:val="zh-CN"/>
        </w:rPr>
        <w:t>1.6%</w:t>
      </w:r>
      <w:r w:rsidR="00AD7DCD" w:rsidRPr="009A04AE">
        <w:rPr>
          <w:rFonts w:hint="eastAsia"/>
          <w:bCs/>
          <w:snapToGrid w:val="0"/>
          <w:szCs w:val="21"/>
          <w:lang w:val="zh-CN"/>
        </w:rPr>
        <w:t>；实现利税总额</w:t>
      </w:r>
      <w:r w:rsidR="00AD7DCD" w:rsidRPr="009A04AE">
        <w:rPr>
          <w:rFonts w:hint="eastAsia"/>
          <w:bCs/>
          <w:snapToGrid w:val="0"/>
          <w:szCs w:val="21"/>
          <w:lang w:val="zh-CN"/>
        </w:rPr>
        <w:t>2</w:t>
      </w:r>
      <w:r w:rsidR="00465593">
        <w:rPr>
          <w:rFonts w:hint="eastAsia"/>
          <w:bCs/>
          <w:snapToGrid w:val="0"/>
          <w:szCs w:val="21"/>
          <w:lang w:val="zh-CN"/>
        </w:rPr>
        <w:t>76.9</w:t>
      </w:r>
      <w:r w:rsidR="00AD7DCD" w:rsidRPr="009A04AE">
        <w:rPr>
          <w:rFonts w:hint="eastAsia"/>
          <w:bCs/>
          <w:snapToGrid w:val="0"/>
          <w:szCs w:val="21"/>
          <w:lang w:val="zh-CN"/>
        </w:rPr>
        <w:t>亿元，下降</w:t>
      </w:r>
      <w:r w:rsidR="00AD7DCD" w:rsidRPr="009A04AE">
        <w:rPr>
          <w:rFonts w:hint="eastAsia"/>
          <w:bCs/>
          <w:snapToGrid w:val="0"/>
          <w:szCs w:val="21"/>
          <w:lang w:val="zh-CN"/>
        </w:rPr>
        <w:t>2</w:t>
      </w:r>
      <w:r w:rsidR="00465593">
        <w:rPr>
          <w:rFonts w:hint="eastAsia"/>
          <w:bCs/>
          <w:snapToGrid w:val="0"/>
          <w:szCs w:val="21"/>
          <w:lang w:val="zh-CN"/>
        </w:rPr>
        <w:t>2.1</w:t>
      </w:r>
      <w:r w:rsidR="00AD7DCD" w:rsidRPr="009A04AE">
        <w:rPr>
          <w:rFonts w:hint="eastAsia"/>
          <w:bCs/>
          <w:snapToGrid w:val="0"/>
          <w:szCs w:val="21"/>
          <w:lang w:val="zh-CN"/>
        </w:rPr>
        <w:t>%</w:t>
      </w:r>
      <w:r w:rsidR="00AD7DCD" w:rsidRPr="009A04AE">
        <w:rPr>
          <w:rFonts w:hint="eastAsia"/>
          <w:bCs/>
          <w:snapToGrid w:val="0"/>
          <w:szCs w:val="21"/>
          <w:lang w:val="zh-CN"/>
        </w:rPr>
        <w:t>，其中，税金</w:t>
      </w:r>
      <w:r w:rsidR="00AD7DCD" w:rsidRPr="009A04AE">
        <w:rPr>
          <w:rFonts w:hint="eastAsia"/>
          <w:bCs/>
          <w:snapToGrid w:val="0"/>
          <w:szCs w:val="21"/>
          <w:lang w:val="zh-CN"/>
        </w:rPr>
        <w:t>212.1</w:t>
      </w:r>
      <w:r w:rsidR="00AD7DCD" w:rsidRPr="009A04AE">
        <w:rPr>
          <w:rFonts w:hint="eastAsia"/>
          <w:bCs/>
          <w:snapToGrid w:val="0"/>
          <w:szCs w:val="21"/>
          <w:lang w:val="zh-CN"/>
        </w:rPr>
        <w:t>亿元，下降</w:t>
      </w:r>
      <w:r w:rsidR="00AD7DCD" w:rsidRPr="009A04AE">
        <w:rPr>
          <w:rFonts w:hint="eastAsia"/>
          <w:bCs/>
          <w:snapToGrid w:val="0"/>
          <w:szCs w:val="21"/>
          <w:lang w:val="zh-CN"/>
        </w:rPr>
        <w:t>12.1%</w:t>
      </w:r>
      <w:r w:rsidR="00AD7DCD" w:rsidRPr="009A04AE">
        <w:rPr>
          <w:rFonts w:hint="eastAsia"/>
          <w:bCs/>
          <w:snapToGrid w:val="0"/>
          <w:szCs w:val="21"/>
          <w:lang w:val="zh-CN"/>
        </w:rPr>
        <w:t>；利润总额</w:t>
      </w:r>
      <w:r w:rsidR="00AD7DCD" w:rsidRPr="009A04AE">
        <w:rPr>
          <w:rFonts w:hint="eastAsia"/>
          <w:bCs/>
          <w:snapToGrid w:val="0"/>
          <w:szCs w:val="21"/>
          <w:lang w:val="zh-CN"/>
        </w:rPr>
        <w:t>64.9</w:t>
      </w:r>
      <w:r w:rsidR="00AD7DCD" w:rsidRPr="009A04AE">
        <w:rPr>
          <w:rFonts w:hint="eastAsia"/>
          <w:bCs/>
          <w:snapToGrid w:val="0"/>
          <w:szCs w:val="21"/>
          <w:lang w:val="zh-CN"/>
        </w:rPr>
        <w:t>亿元，下降</w:t>
      </w:r>
      <w:r w:rsidR="00AD7DCD" w:rsidRPr="009A04AE">
        <w:rPr>
          <w:rFonts w:hint="eastAsia"/>
          <w:bCs/>
          <w:snapToGrid w:val="0"/>
          <w:szCs w:val="21"/>
          <w:lang w:val="zh-CN"/>
        </w:rPr>
        <w:t>43.2%</w:t>
      </w:r>
      <w:r w:rsidR="00AD7DCD" w:rsidRPr="009A04AE">
        <w:rPr>
          <w:rFonts w:hint="eastAsia"/>
          <w:bCs/>
          <w:snapToGrid w:val="0"/>
          <w:szCs w:val="21"/>
          <w:lang w:val="zh-CN"/>
        </w:rPr>
        <w:t>。</w:t>
      </w:r>
    </w:p>
    <w:p w:rsidR="00BC181E" w:rsidRPr="007A05D6" w:rsidRDefault="00BC181E" w:rsidP="00AF2873">
      <w:pPr>
        <w:adjustRightInd w:val="0"/>
        <w:snapToGrid w:val="0"/>
        <w:spacing w:beforeLines="50" w:before="156" w:afterLines="50" w:after="156" w:line="440" w:lineRule="exact"/>
        <w:ind w:firstLineChars="200" w:firstLine="480"/>
        <w:rPr>
          <w:rFonts w:eastAsia="方正黑体简体"/>
          <w:kern w:val="21"/>
          <w:sz w:val="24"/>
        </w:rPr>
      </w:pPr>
      <w:r w:rsidRPr="007A05D6">
        <w:rPr>
          <w:rFonts w:eastAsia="方正黑体简体" w:hint="eastAsia"/>
          <w:kern w:val="21"/>
          <w:sz w:val="24"/>
        </w:rPr>
        <w:t>四、投资和建筑业</w:t>
      </w:r>
    </w:p>
    <w:p w:rsidR="00AD7DCD" w:rsidRDefault="0005159C" w:rsidP="00AD7DCD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 w:rsidRPr="00825A99">
        <w:rPr>
          <w:rFonts w:hint="eastAsia"/>
          <w:szCs w:val="21"/>
        </w:rPr>
        <w:t>全年</w:t>
      </w:r>
      <w:r w:rsidR="00AD7DCD">
        <w:rPr>
          <w:rFonts w:hint="eastAsia"/>
          <w:szCs w:val="21"/>
        </w:rPr>
        <w:t>固定资产完成投资</w:t>
      </w:r>
      <w:r w:rsidR="00AD7DCD">
        <w:rPr>
          <w:rFonts w:hint="eastAsia"/>
          <w:szCs w:val="21"/>
        </w:rPr>
        <w:t>374.3</w:t>
      </w:r>
      <w:r w:rsidR="00AD7DCD">
        <w:rPr>
          <w:rFonts w:hint="eastAsia"/>
          <w:szCs w:val="21"/>
        </w:rPr>
        <w:t>亿元，比上年增长</w:t>
      </w:r>
      <w:r w:rsidR="00AD7DCD">
        <w:rPr>
          <w:rFonts w:hint="eastAsia"/>
          <w:szCs w:val="21"/>
        </w:rPr>
        <w:t>16%</w:t>
      </w:r>
      <w:r w:rsidR="00AD7DCD">
        <w:rPr>
          <w:rFonts w:hint="eastAsia"/>
          <w:szCs w:val="21"/>
        </w:rPr>
        <w:t>。其中，中央</w:t>
      </w:r>
      <w:r w:rsidR="00C9690D">
        <w:rPr>
          <w:rFonts w:hint="eastAsia"/>
          <w:szCs w:val="21"/>
        </w:rPr>
        <w:t>石油石化</w:t>
      </w:r>
      <w:r w:rsidR="00AD7DCD">
        <w:rPr>
          <w:rFonts w:hint="eastAsia"/>
          <w:szCs w:val="21"/>
        </w:rPr>
        <w:t>项目投资</w:t>
      </w:r>
      <w:r w:rsidR="00AD7DCD">
        <w:rPr>
          <w:rFonts w:hint="eastAsia"/>
          <w:szCs w:val="21"/>
        </w:rPr>
        <w:t>303</w:t>
      </w:r>
      <w:r w:rsidR="00AD7DCD">
        <w:rPr>
          <w:rFonts w:hint="eastAsia"/>
          <w:szCs w:val="21"/>
        </w:rPr>
        <w:t>亿元，增长</w:t>
      </w:r>
      <w:r w:rsidR="00AD7DCD">
        <w:rPr>
          <w:rFonts w:hint="eastAsia"/>
          <w:szCs w:val="21"/>
        </w:rPr>
        <w:t>37.3%</w:t>
      </w:r>
      <w:r w:rsidR="00AD7DCD">
        <w:rPr>
          <w:rFonts w:hint="eastAsia"/>
          <w:szCs w:val="21"/>
        </w:rPr>
        <w:t>；地方项目投资</w:t>
      </w:r>
      <w:r w:rsidR="00AD7DCD">
        <w:rPr>
          <w:rFonts w:hint="eastAsia"/>
          <w:szCs w:val="21"/>
        </w:rPr>
        <w:t>71.3</w:t>
      </w:r>
      <w:r w:rsidR="00AD7DCD">
        <w:rPr>
          <w:rFonts w:hint="eastAsia"/>
          <w:szCs w:val="21"/>
        </w:rPr>
        <w:t>亿元，下降</w:t>
      </w:r>
      <w:r w:rsidR="00AD7DCD">
        <w:rPr>
          <w:rFonts w:hint="eastAsia"/>
          <w:szCs w:val="21"/>
        </w:rPr>
        <w:t>30%</w:t>
      </w:r>
      <w:r w:rsidR="00AD7DCD">
        <w:rPr>
          <w:rFonts w:hint="eastAsia"/>
          <w:szCs w:val="21"/>
        </w:rPr>
        <w:t>。按三次产业划分，第一产业投资</w:t>
      </w:r>
      <w:r w:rsidR="00AD7DCD">
        <w:rPr>
          <w:rFonts w:hint="eastAsia"/>
          <w:szCs w:val="21"/>
        </w:rPr>
        <w:t>1700</w:t>
      </w:r>
      <w:r w:rsidR="00AD7DCD">
        <w:rPr>
          <w:rFonts w:hint="eastAsia"/>
          <w:szCs w:val="21"/>
        </w:rPr>
        <w:t>万元，下降</w:t>
      </w:r>
      <w:r w:rsidR="00AD7DCD">
        <w:rPr>
          <w:rFonts w:hint="eastAsia"/>
          <w:szCs w:val="21"/>
        </w:rPr>
        <w:t>89.3%</w:t>
      </w:r>
      <w:r w:rsidR="00AD7DCD">
        <w:rPr>
          <w:rFonts w:hint="eastAsia"/>
          <w:szCs w:val="21"/>
        </w:rPr>
        <w:t>；第二产业投资</w:t>
      </w:r>
      <w:r w:rsidR="00AD7DCD">
        <w:rPr>
          <w:rFonts w:hint="eastAsia"/>
          <w:szCs w:val="21"/>
        </w:rPr>
        <w:t>313.8</w:t>
      </w:r>
      <w:r w:rsidR="00AD7DCD">
        <w:rPr>
          <w:rFonts w:hint="eastAsia"/>
          <w:szCs w:val="21"/>
        </w:rPr>
        <w:t>亿元，增长</w:t>
      </w:r>
      <w:r w:rsidR="00AD7DCD">
        <w:rPr>
          <w:rFonts w:hint="eastAsia"/>
          <w:szCs w:val="21"/>
        </w:rPr>
        <w:t>26.5%</w:t>
      </w:r>
      <w:r w:rsidR="00AD7DCD">
        <w:rPr>
          <w:rFonts w:hint="eastAsia"/>
          <w:szCs w:val="21"/>
        </w:rPr>
        <w:t>，第三产业投资</w:t>
      </w:r>
      <w:r w:rsidR="00AD7DCD">
        <w:rPr>
          <w:rFonts w:hint="eastAsia"/>
          <w:szCs w:val="21"/>
        </w:rPr>
        <w:t>60.4</w:t>
      </w:r>
      <w:r w:rsidR="00AD7DCD">
        <w:rPr>
          <w:rFonts w:hint="eastAsia"/>
          <w:szCs w:val="21"/>
        </w:rPr>
        <w:t>亿元，下降</w:t>
      </w:r>
      <w:r w:rsidR="00AD7DCD">
        <w:rPr>
          <w:rFonts w:hint="eastAsia"/>
          <w:szCs w:val="21"/>
        </w:rPr>
        <w:t>17.4%</w:t>
      </w:r>
      <w:r w:rsidR="00AD7DCD">
        <w:rPr>
          <w:rFonts w:hint="eastAsia"/>
          <w:szCs w:val="21"/>
        </w:rPr>
        <w:t>。</w:t>
      </w:r>
    </w:p>
    <w:p w:rsidR="00C2768A" w:rsidRPr="00AD7DCD" w:rsidRDefault="00C2768A" w:rsidP="00ED2735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</w:p>
    <w:p w:rsidR="00ED2735" w:rsidRPr="007A05D6" w:rsidRDefault="00EB5804" w:rsidP="00BC181E">
      <w:pPr>
        <w:adjustRightInd w:val="0"/>
        <w:snapToGrid w:val="0"/>
        <w:ind w:firstLineChars="200" w:firstLine="420"/>
        <w:jc w:val="center"/>
        <w:rPr>
          <w:szCs w:val="21"/>
        </w:rPr>
      </w:pPr>
      <w:r w:rsidRPr="00EB5804">
        <w:rPr>
          <w:noProof/>
          <w:szCs w:val="21"/>
        </w:rPr>
        <w:drawing>
          <wp:inline distT="0" distB="0" distL="0" distR="0">
            <wp:extent cx="4772025" cy="2971800"/>
            <wp:effectExtent l="0" t="0" r="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1105" w:rsidRDefault="0005159C" w:rsidP="009F1105">
      <w:pPr>
        <w:adjustRightInd w:val="0"/>
        <w:snapToGrid w:val="0"/>
        <w:spacing w:line="440" w:lineRule="exact"/>
        <w:ind w:firstLineChars="200" w:firstLine="420"/>
        <w:rPr>
          <w:snapToGrid w:val="0"/>
          <w:kern w:val="0"/>
          <w:szCs w:val="21"/>
          <w:lang w:val="zh-CN"/>
        </w:rPr>
      </w:pPr>
      <w:r w:rsidRPr="00825A99">
        <w:rPr>
          <w:rFonts w:hint="eastAsia"/>
          <w:szCs w:val="21"/>
        </w:rPr>
        <w:t>全年</w:t>
      </w:r>
      <w:r w:rsidR="009F1105">
        <w:rPr>
          <w:rFonts w:hint="eastAsia"/>
          <w:szCs w:val="21"/>
        </w:rPr>
        <w:t>房地产开发完成投资</w:t>
      </w:r>
      <w:r w:rsidR="009F1105">
        <w:rPr>
          <w:rFonts w:hint="eastAsia"/>
          <w:szCs w:val="21"/>
        </w:rPr>
        <w:t>16.3</w:t>
      </w:r>
      <w:r w:rsidR="009F1105">
        <w:rPr>
          <w:rFonts w:hint="eastAsia"/>
          <w:szCs w:val="21"/>
        </w:rPr>
        <w:t>亿元，比上年下降</w:t>
      </w:r>
      <w:r w:rsidR="009F1105">
        <w:rPr>
          <w:rFonts w:hint="eastAsia"/>
          <w:szCs w:val="21"/>
        </w:rPr>
        <w:t>23.8%</w:t>
      </w:r>
      <w:r w:rsidR="009F1105">
        <w:rPr>
          <w:rFonts w:hint="eastAsia"/>
          <w:szCs w:val="21"/>
        </w:rPr>
        <w:t>。房屋施工面积</w:t>
      </w:r>
      <w:r w:rsidR="009F1105">
        <w:rPr>
          <w:rFonts w:hint="eastAsia"/>
          <w:szCs w:val="21"/>
        </w:rPr>
        <w:t>392.7</w:t>
      </w:r>
      <w:r w:rsidR="009F1105">
        <w:rPr>
          <w:rFonts w:hint="eastAsia"/>
          <w:szCs w:val="21"/>
        </w:rPr>
        <w:t>万平方米，增长</w:t>
      </w:r>
      <w:r w:rsidR="009F1105">
        <w:rPr>
          <w:rFonts w:hint="eastAsia"/>
          <w:szCs w:val="21"/>
        </w:rPr>
        <w:t>7.1%</w:t>
      </w:r>
      <w:r w:rsidR="009F1105">
        <w:rPr>
          <w:rFonts w:hint="eastAsia"/>
          <w:szCs w:val="21"/>
        </w:rPr>
        <w:t>，其中，住宅施工面积</w:t>
      </w:r>
      <w:r w:rsidR="009F1105">
        <w:rPr>
          <w:rFonts w:hint="eastAsia"/>
          <w:szCs w:val="21"/>
        </w:rPr>
        <w:t>312</w:t>
      </w:r>
      <w:r w:rsidR="009F1105">
        <w:rPr>
          <w:rFonts w:hint="eastAsia"/>
          <w:szCs w:val="21"/>
        </w:rPr>
        <w:t>万平方米，增长</w:t>
      </w:r>
      <w:r w:rsidR="009F1105">
        <w:rPr>
          <w:rFonts w:hint="eastAsia"/>
          <w:szCs w:val="21"/>
        </w:rPr>
        <w:t>11.3%</w:t>
      </w:r>
      <w:r w:rsidR="009F1105">
        <w:rPr>
          <w:rFonts w:hint="eastAsia"/>
          <w:szCs w:val="21"/>
        </w:rPr>
        <w:t>。房屋竣工面积</w:t>
      </w:r>
      <w:r w:rsidR="009F1105">
        <w:rPr>
          <w:rFonts w:hint="eastAsia"/>
          <w:szCs w:val="21"/>
        </w:rPr>
        <w:t>28.2</w:t>
      </w:r>
      <w:r w:rsidR="009F1105">
        <w:rPr>
          <w:rFonts w:hint="eastAsia"/>
          <w:szCs w:val="21"/>
        </w:rPr>
        <w:t>万平方米，下降</w:t>
      </w:r>
      <w:r w:rsidR="009F1105">
        <w:rPr>
          <w:rFonts w:hint="eastAsia"/>
          <w:szCs w:val="21"/>
        </w:rPr>
        <w:t>23.2%</w:t>
      </w:r>
      <w:r w:rsidR="009F1105">
        <w:rPr>
          <w:rFonts w:hint="eastAsia"/>
          <w:szCs w:val="21"/>
        </w:rPr>
        <w:t>，其中，住宅竣工面积</w:t>
      </w:r>
      <w:r w:rsidR="009F1105">
        <w:rPr>
          <w:rFonts w:hint="eastAsia"/>
          <w:szCs w:val="21"/>
        </w:rPr>
        <w:t>21.9</w:t>
      </w:r>
      <w:r w:rsidR="009F1105">
        <w:rPr>
          <w:rFonts w:hint="eastAsia"/>
          <w:szCs w:val="21"/>
        </w:rPr>
        <w:t>万平方米，下降</w:t>
      </w:r>
      <w:r w:rsidR="009F1105">
        <w:rPr>
          <w:rFonts w:hint="eastAsia"/>
          <w:szCs w:val="21"/>
        </w:rPr>
        <w:t>8.9%</w:t>
      </w:r>
      <w:r w:rsidR="009F1105">
        <w:rPr>
          <w:rFonts w:hint="eastAsia"/>
          <w:szCs w:val="21"/>
        </w:rPr>
        <w:t>。商品房销售面积</w:t>
      </w:r>
      <w:r w:rsidR="009F1105">
        <w:rPr>
          <w:rFonts w:hint="eastAsia"/>
          <w:szCs w:val="21"/>
        </w:rPr>
        <w:t>43.7</w:t>
      </w:r>
      <w:r w:rsidR="009F1105">
        <w:rPr>
          <w:rFonts w:hint="eastAsia"/>
          <w:szCs w:val="21"/>
        </w:rPr>
        <w:t>万平方米，增长</w:t>
      </w:r>
      <w:r w:rsidR="009F1105">
        <w:rPr>
          <w:rFonts w:hint="eastAsia"/>
          <w:szCs w:val="21"/>
        </w:rPr>
        <w:t>160.1%</w:t>
      </w:r>
      <w:r w:rsidR="009F1105">
        <w:rPr>
          <w:rFonts w:hint="eastAsia"/>
          <w:szCs w:val="21"/>
        </w:rPr>
        <w:t>，其中，住宅销售面积</w:t>
      </w:r>
      <w:r w:rsidR="009F1105">
        <w:rPr>
          <w:rFonts w:hint="eastAsia"/>
          <w:szCs w:val="21"/>
        </w:rPr>
        <w:t>39.4</w:t>
      </w:r>
      <w:r w:rsidR="009F1105">
        <w:rPr>
          <w:rFonts w:hint="eastAsia"/>
          <w:szCs w:val="21"/>
        </w:rPr>
        <w:t>万平方米，增长</w:t>
      </w:r>
      <w:r w:rsidR="009F1105">
        <w:rPr>
          <w:rFonts w:hint="eastAsia"/>
          <w:szCs w:val="21"/>
        </w:rPr>
        <w:t>189.2%</w:t>
      </w:r>
      <w:r w:rsidR="009F1105">
        <w:rPr>
          <w:rFonts w:hint="eastAsia"/>
          <w:szCs w:val="21"/>
        </w:rPr>
        <w:t>。</w:t>
      </w:r>
    </w:p>
    <w:p w:rsidR="009F1105" w:rsidRDefault="009F1105" w:rsidP="009F1105">
      <w:pPr>
        <w:adjustRightInd w:val="0"/>
        <w:snapToGrid w:val="0"/>
        <w:spacing w:line="440" w:lineRule="exact"/>
        <w:ind w:firstLineChars="200" w:firstLine="420"/>
        <w:rPr>
          <w:snapToGrid w:val="0"/>
          <w:kern w:val="0"/>
          <w:szCs w:val="21"/>
          <w:lang w:val="zh-CN"/>
        </w:rPr>
      </w:pPr>
      <w:r w:rsidRPr="00505FEA">
        <w:rPr>
          <w:rFonts w:hint="eastAsia"/>
          <w:szCs w:val="21"/>
        </w:rPr>
        <w:t>全年</w:t>
      </w:r>
      <w:r w:rsidRPr="00505FEA">
        <w:rPr>
          <w:rFonts w:hint="eastAsia"/>
          <w:snapToGrid w:val="0"/>
          <w:kern w:val="0"/>
          <w:szCs w:val="21"/>
          <w:lang w:val="zh-CN"/>
        </w:rPr>
        <w:t>实现建筑业增加值</w:t>
      </w:r>
      <w:r w:rsidRPr="00505FEA">
        <w:rPr>
          <w:rFonts w:hint="eastAsia"/>
          <w:snapToGrid w:val="0"/>
          <w:kern w:val="0"/>
          <w:szCs w:val="21"/>
          <w:lang w:val="zh-CN"/>
        </w:rPr>
        <w:t>27.4</w:t>
      </w:r>
      <w:r w:rsidRPr="00505FEA">
        <w:rPr>
          <w:rFonts w:hint="eastAsia"/>
          <w:snapToGrid w:val="0"/>
          <w:kern w:val="0"/>
          <w:szCs w:val="21"/>
          <w:lang w:val="zh-CN"/>
        </w:rPr>
        <w:t>亿元，按可比价格计算，比上年增长</w:t>
      </w:r>
      <w:r w:rsidRPr="00505FEA">
        <w:rPr>
          <w:rFonts w:hint="eastAsia"/>
          <w:snapToGrid w:val="0"/>
          <w:kern w:val="0"/>
          <w:szCs w:val="21"/>
          <w:lang w:val="zh-CN"/>
        </w:rPr>
        <w:t>2.0</w:t>
      </w:r>
      <w:r w:rsidRPr="00505FEA">
        <w:rPr>
          <w:snapToGrid w:val="0"/>
          <w:kern w:val="0"/>
          <w:szCs w:val="21"/>
          <w:lang w:val="zh-CN"/>
        </w:rPr>
        <w:t>%</w:t>
      </w:r>
      <w:r w:rsidRPr="00505FEA">
        <w:rPr>
          <w:rFonts w:hint="eastAsia"/>
          <w:snapToGrid w:val="0"/>
          <w:kern w:val="0"/>
          <w:szCs w:val="21"/>
          <w:lang w:val="zh-CN"/>
        </w:rPr>
        <w:t>。</w:t>
      </w:r>
      <w:r>
        <w:rPr>
          <w:rFonts w:hint="eastAsia"/>
          <w:snapToGrid w:val="0"/>
          <w:kern w:val="0"/>
          <w:szCs w:val="21"/>
          <w:lang w:val="zh-CN"/>
        </w:rPr>
        <w:t>全市有资质建筑业企业完成产</w:t>
      </w:r>
      <w:r>
        <w:rPr>
          <w:rFonts w:hint="eastAsia"/>
          <w:snapToGrid w:val="0"/>
          <w:kern w:val="0"/>
          <w:szCs w:val="21"/>
          <w:lang w:val="zh-CN"/>
        </w:rPr>
        <w:lastRenderedPageBreak/>
        <w:t>值</w:t>
      </w:r>
      <w:r>
        <w:rPr>
          <w:rFonts w:hint="eastAsia"/>
          <w:snapToGrid w:val="0"/>
          <w:kern w:val="0"/>
          <w:szCs w:val="21"/>
        </w:rPr>
        <w:t>82.6</w:t>
      </w:r>
      <w:r>
        <w:rPr>
          <w:rFonts w:hint="eastAsia"/>
          <w:snapToGrid w:val="0"/>
          <w:kern w:val="0"/>
          <w:szCs w:val="21"/>
          <w:lang w:val="zh-CN"/>
        </w:rPr>
        <w:t>亿元，</w:t>
      </w:r>
      <w:r>
        <w:rPr>
          <w:rFonts w:hint="eastAsia"/>
          <w:snapToGrid w:val="0"/>
          <w:kern w:val="0"/>
          <w:szCs w:val="21"/>
        </w:rPr>
        <w:t>增长</w:t>
      </w:r>
      <w:r>
        <w:rPr>
          <w:rFonts w:hint="eastAsia"/>
          <w:snapToGrid w:val="0"/>
          <w:kern w:val="0"/>
          <w:szCs w:val="21"/>
        </w:rPr>
        <w:t>4.2</w:t>
      </w:r>
      <w:r>
        <w:rPr>
          <w:rFonts w:hint="eastAsia"/>
          <w:snapToGrid w:val="0"/>
          <w:kern w:val="0"/>
          <w:szCs w:val="21"/>
          <w:lang w:val="zh-CN"/>
        </w:rPr>
        <w:t>%</w:t>
      </w:r>
      <w:r>
        <w:rPr>
          <w:rFonts w:hint="eastAsia"/>
          <w:snapToGrid w:val="0"/>
          <w:kern w:val="0"/>
          <w:szCs w:val="21"/>
          <w:lang w:val="zh-CN"/>
        </w:rPr>
        <w:t>。竣工产值</w:t>
      </w:r>
      <w:r>
        <w:rPr>
          <w:rFonts w:hint="eastAsia"/>
          <w:snapToGrid w:val="0"/>
          <w:kern w:val="0"/>
          <w:szCs w:val="21"/>
        </w:rPr>
        <w:t>38.9</w:t>
      </w:r>
      <w:r>
        <w:rPr>
          <w:rFonts w:hint="eastAsia"/>
          <w:snapToGrid w:val="0"/>
          <w:kern w:val="0"/>
          <w:szCs w:val="21"/>
          <w:lang w:val="zh-CN"/>
        </w:rPr>
        <w:t>亿元，下降</w:t>
      </w:r>
      <w:r>
        <w:rPr>
          <w:rFonts w:hint="eastAsia"/>
          <w:snapToGrid w:val="0"/>
          <w:kern w:val="0"/>
          <w:szCs w:val="21"/>
        </w:rPr>
        <w:t>21.8</w:t>
      </w:r>
      <w:r>
        <w:rPr>
          <w:rFonts w:hint="eastAsia"/>
          <w:snapToGrid w:val="0"/>
          <w:kern w:val="0"/>
          <w:szCs w:val="21"/>
          <w:lang w:val="zh-CN"/>
        </w:rPr>
        <w:t>%</w:t>
      </w:r>
      <w:r>
        <w:rPr>
          <w:rFonts w:hint="eastAsia"/>
          <w:snapToGrid w:val="0"/>
          <w:kern w:val="0"/>
          <w:szCs w:val="21"/>
          <w:lang w:val="zh-CN"/>
        </w:rPr>
        <w:t>。</w:t>
      </w:r>
    </w:p>
    <w:p w:rsidR="005E7290" w:rsidRPr="00633475" w:rsidRDefault="005E7290" w:rsidP="00AF2873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eastAsia="方正黑体简体"/>
          <w:sz w:val="24"/>
        </w:rPr>
      </w:pPr>
      <w:r w:rsidRPr="00633475">
        <w:rPr>
          <w:rFonts w:eastAsia="方正黑体简体" w:hint="eastAsia"/>
          <w:kern w:val="21"/>
          <w:sz w:val="24"/>
        </w:rPr>
        <w:t>五、邮电、交通、旅游</w:t>
      </w:r>
    </w:p>
    <w:p w:rsidR="005E7290" w:rsidRPr="00D56DDC" w:rsidRDefault="005E7290" w:rsidP="005E7290">
      <w:pPr>
        <w:spacing w:line="460" w:lineRule="exact"/>
        <w:ind w:firstLineChars="200" w:firstLine="420"/>
        <w:rPr>
          <w:kern w:val="0"/>
          <w:sz w:val="22"/>
          <w:szCs w:val="22"/>
        </w:rPr>
      </w:pPr>
      <w:r w:rsidRPr="00633475">
        <w:rPr>
          <w:rFonts w:hint="eastAsia"/>
          <w:szCs w:val="21"/>
        </w:rPr>
        <w:t>全年邮政行业业务总量完成</w:t>
      </w:r>
      <w:r w:rsidRPr="00633475">
        <w:rPr>
          <w:rFonts w:hint="eastAsia"/>
          <w:szCs w:val="21"/>
        </w:rPr>
        <w:t>11132.65</w:t>
      </w:r>
      <w:r w:rsidRPr="00633475">
        <w:rPr>
          <w:rFonts w:hint="eastAsia"/>
          <w:szCs w:val="21"/>
        </w:rPr>
        <w:t>万元，比上年下降</w:t>
      </w:r>
      <w:r w:rsidRPr="00633475">
        <w:rPr>
          <w:rFonts w:hint="eastAsia"/>
          <w:szCs w:val="21"/>
        </w:rPr>
        <w:t>4.73%</w:t>
      </w:r>
      <w:r w:rsidRPr="00633475">
        <w:rPr>
          <w:rFonts w:hint="eastAsia"/>
          <w:szCs w:val="21"/>
        </w:rPr>
        <w:t>；邮政行业业务收入（不包括邮政储蓄银行直接营业收入）完成</w:t>
      </w:r>
      <w:r w:rsidRPr="00633475">
        <w:rPr>
          <w:rFonts w:hint="eastAsia"/>
          <w:szCs w:val="21"/>
        </w:rPr>
        <w:t>14085.38</w:t>
      </w:r>
      <w:r w:rsidRPr="00633475">
        <w:rPr>
          <w:rFonts w:hint="eastAsia"/>
          <w:szCs w:val="21"/>
        </w:rPr>
        <w:t>万元，下降</w:t>
      </w:r>
      <w:r w:rsidRPr="00633475">
        <w:rPr>
          <w:rFonts w:hint="eastAsia"/>
          <w:szCs w:val="21"/>
        </w:rPr>
        <w:t>2.09%</w:t>
      </w:r>
      <w:r w:rsidRPr="00633475">
        <w:rPr>
          <w:rFonts w:hint="eastAsia"/>
          <w:szCs w:val="21"/>
        </w:rPr>
        <w:t>。</w:t>
      </w:r>
      <w:r w:rsidRPr="00D56DDC">
        <w:rPr>
          <w:rFonts w:hint="eastAsia"/>
          <w:szCs w:val="21"/>
        </w:rPr>
        <w:t>电信业务收入</w:t>
      </w:r>
      <w:r w:rsidRPr="00D56DDC">
        <w:rPr>
          <w:rFonts w:hint="eastAsia"/>
          <w:szCs w:val="21"/>
        </w:rPr>
        <w:t>61941.1</w:t>
      </w:r>
      <w:r w:rsidRPr="00D56DDC">
        <w:rPr>
          <w:rFonts w:hint="eastAsia"/>
          <w:szCs w:val="21"/>
        </w:rPr>
        <w:t>万元。固定电话用户</w:t>
      </w:r>
      <w:r w:rsidRPr="00D56DDC">
        <w:rPr>
          <w:rFonts w:hint="eastAsia"/>
          <w:szCs w:val="21"/>
        </w:rPr>
        <w:t>7.9</w:t>
      </w:r>
      <w:r w:rsidRPr="00D56DDC">
        <w:rPr>
          <w:rFonts w:hint="eastAsia"/>
          <w:szCs w:val="21"/>
        </w:rPr>
        <w:t>万户，移动电话用户</w:t>
      </w:r>
      <w:r w:rsidRPr="00D56DDC">
        <w:rPr>
          <w:rFonts w:hint="eastAsia"/>
          <w:szCs w:val="21"/>
        </w:rPr>
        <w:t>67.2</w:t>
      </w:r>
      <w:r w:rsidRPr="00D56DDC">
        <w:rPr>
          <w:rFonts w:hint="eastAsia"/>
          <w:szCs w:val="21"/>
        </w:rPr>
        <w:t>万户，互联网用户</w:t>
      </w:r>
      <w:r w:rsidRPr="00D56DDC">
        <w:rPr>
          <w:rFonts w:hint="eastAsia"/>
          <w:szCs w:val="21"/>
        </w:rPr>
        <w:t>22.9</w:t>
      </w:r>
      <w:r w:rsidRPr="00D56DDC">
        <w:rPr>
          <w:rFonts w:hint="eastAsia"/>
          <w:szCs w:val="21"/>
        </w:rPr>
        <w:t>万户。</w:t>
      </w:r>
    </w:p>
    <w:p w:rsidR="005E7290" w:rsidRPr="00D56DDC" w:rsidRDefault="005E7290" w:rsidP="005E7290">
      <w:pPr>
        <w:adjustRightInd w:val="0"/>
        <w:snapToGrid w:val="0"/>
        <w:spacing w:line="460" w:lineRule="exact"/>
        <w:ind w:firstLineChars="200" w:firstLine="420"/>
        <w:rPr>
          <w:szCs w:val="21"/>
        </w:rPr>
      </w:pPr>
      <w:r w:rsidRPr="00D56DDC">
        <w:rPr>
          <w:rFonts w:hint="eastAsia"/>
          <w:szCs w:val="21"/>
        </w:rPr>
        <w:t>全市备案登记快递企业</w:t>
      </w:r>
      <w:r w:rsidRPr="00D56DDC">
        <w:rPr>
          <w:rFonts w:hint="eastAsia"/>
          <w:szCs w:val="21"/>
        </w:rPr>
        <w:t>60</w:t>
      </w:r>
      <w:r w:rsidRPr="00D56DDC">
        <w:rPr>
          <w:rFonts w:hint="eastAsia"/>
          <w:szCs w:val="21"/>
        </w:rPr>
        <w:t>家，比上年减少</w:t>
      </w:r>
      <w:r w:rsidRPr="00D56DDC">
        <w:rPr>
          <w:rFonts w:hint="eastAsia"/>
          <w:szCs w:val="21"/>
        </w:rPr>
        <w:t>1.64</w:t>
      </w:r>
      <w:r w:rsidRPr="00D56DDC">
        <w:rPr>
          <w:szCs w:val="21"/>
        </w:rPr>
        <w:t>%</w:t>
      </w:r>
      <w:r w:rsidRPr="00D56DDC">
        <w:rPr>
          <w:rFonts w:hint="eastAsia"/>
          <w:szCs w:val="21"/>
        </w:rPr>
        <w:t>。全年快递服务企业业务量完成</w:t>
      </w:r>
      <w:r w:rsidRPr="00D56DDC">
        <w:rPr>
          <w:rFonts w:hint="eastAsia"/>
          <w:szCs w:val="21"/>
        </w:rPr>
        <w:t>167.81</w:t>
      </w:r>
      <w:r w:rsidRPr="00D56DDC">
        <w:rPr>
          <w:rFonts w:hint="eastAsia"/>
          <w:szCs w:val="21"/>
        </w:rPr>
        <w:t>万件，下降</w:t>
      </w:r>
      <w:r w:rsidRPr="00D56DDC">
        <w:rPr>
          <w:rFonts w:hint="eastAsia"/>
          <w:szCs w:val="21"/>
        </w:rPr>
        <w:t>42.15</w:t>
      </w:r>
      <w:r w:rsidRPr="00D56DDC">
        <w:rPr>
          <w:szCs w:val="21"/>
        </w:rPr>
        <w:t>%</w:t>
      </w:r>
      <w:r w:rsidRPr="00D56DDC">
        <w:rPr>
          <w:rFonts w:hint="eastAsia"/>
          <w:szCs w:val="21"/>
        </w:rPr>
        <w:t>；快递业务投递量</w:t>
      </w:r>
      <w:r w:rsidRPr="00D56DDC">
        <w:rPr>
          <w:rFonts w:hint="eastAsia"/>
          <w:szCs w:val="21"/>
        </w:rPr>
        <w:t>1341.11</w:t>
      </w:r>
      <w:r w:rsidRPr="00D56DDC">
        <w:rPr>
          <w:rFonts w:hint="eastAsia"/>
          <w:szCs w:val="21"/>
        </w:rPr>
        <w:t>万件，增长</w:t>
      </w:r>
      <w:r w:rsidRPr="00D56DDC">
        <w:rPr>
          <w:rFonts w:hint="eastAsia"/>
          <w:szCs w:val="21"/>
        </w:rPr>
        <w:t>19.03</w:t>
      </w:r>
      <w:r w:rsidRPr="00D56DDC">
        <w:rPr>
          <w:szCs w:val="21"/>
        </w:rPr>
        <w:t>%</w:t>
      </w:r>
      <w:r w:rsidRPr="00D56DDC">
        <w:rPr>
          <w:rFonts w:hint="eastAsia"/>
          <w:szCs w:val="21"/>
        </w:rPr>
        <w:t>；全年快递业务收入</w:t>
      </w:r>
      <w:r w:rsidRPr="00D56DDC">
        <w:rPr>
          <w:rFonts w:hint="eastAsia"/>
          <w:szCs w:val="21"/>
        </w:rPr>
        <w:t>6450</w:t>
      </w:r>
      <w:r w:rsidRPr="00D56DDC">
        <w:rPr>
          <w:rFonts w:hint="eastAsia"/>
          <w:szCs w:val="21"/>
        </w:rPr>
        <w:t>万元，下降</w:t>
      </w:r>
      <w:r w:rsidRPr="00D56DDC">
        <w:rPr>
          <w:rFonts w:hint="eastAsia"/>
          <w:szCs w:val="21"/>
        </w:rPr>
        <w:t>13.12</w:t>
      </w:r>
      <w:r w:rsidRPr="00D56DDC">
        <w:rPr>
          <w:szCs w:val="21"/>
        </w:rPr>
        <w:t>%</w:t>
      </w:r>
      <w:r w:rsidRPr="00D56DDC">
        <w:rPr>
          <w:rFonts w:hint="eastAsia"/>
          <w:szCs w:val="21"/>
        </w:rPr>
        <w:t>。</w:t>
      </w:r>
    </w:p>
    <w:p w:rsidR="005E7290" w:rsidRPr="00633475" w:rsidRDefault="005E7290" w:rsidP="005E7290">
      <w:pPr>
        <w:adjustRightInd w:val="0"/>
        <w:snapToGrid w:val="0"/>
        <w:spacing w:line="460" w:lineRule="exact"/>
        <w:ind w:firstLineChars="200" w:firstLine="420"/>
        <w:rPr>
          <w:kern w:val="21"/>
          <w:szCs w:val="21"/>
        </w:rPr>
      </w:pPr>
      <w:r w:rsidRPr="00D56DDC">
        <w:rPr>
          <w:kern w:val="21"/>
          <w:szCs w:val="21"/>
        </w:rPr>
        <w:t>年末全市民用汽车保有量达到</w:t>
      </w:r>
      <w:r w:rsidRPr="00D56DDC">
        <w:rPr>
          <w:rFonts w:hint="eastAsia"/>
          <w:kern w:val="21"/>
          <w:szCs w:val="21"/>
        </w:rPr>
        <w:t>15.3</w:t>
      </w:r>
      <w:r w:rsidRPr="00D56DDC">
        <w:rPr>
          <w:kern w:val="21"/>
          <w:szCs w:val="21"/>
        </w:rPr>
        <w:t>万辆（包括三轮车和低速货车），比上年增长</w:t>
      </w:r>
      <w:r w:rsidRPr="00D56DDC">
        <w:rPr>
          <w:rFonts w:hint="eastAsia"/>
          <w:kern w:val="21"/>
          <w:szCs w:val="21"/>
        </w:rPr>
        <w:t>6.8</w:t>
      </w:r>
      <w:r w:rsidRPr="00D56DDC">
        <w:rPr>
          <w:kern w:val="21"/>
          <w:szCs w:val="21"/>
        </w:rPr>
        <w:t>%</w:t>
      </w:r>
      <w:r w:rsidRPr="00D56DDC">
        <w:rPr>
          <w:kern w:val="21"/>
          <w:szCs w:val="21"/>
        </w:rPr>
        <w:t>，其中，私人汽车保有量</w:t>
      </w:r>
      <w:r w:rsidRPr="00D56DDC">
        <w:rPr>
          <w:rFonts w:hint="eastAsia"/>
          <w:kern w:val="21"/>
          <w:szCs w:val="21"/>
        </w:rPr>
        <w:t>12.2</w:t>
      </w:r>
      <w:r w:rsidRPr="00D56DDC">
        <w:rPr>
          <w:kern w:val="21"/>
          <w:szCs w:val="21"/>
        </w:rPr>
        <w:t>万辆，增长</w:t>
      </w:r>
      <w:r w:rsidRPr="00D56DDC">
        <w:rPr>
          <w:rFonts w:hint="eastAsia"/>
          <w:kern w:val="21"/>
          <w:szCs w:val="21"/>
        </w:rPr>
        <w:t>6.9</w:t>
      </w:r>
      <w:r w:rsidRPr="00D56DDC">
        <w:rPr>
          <w:kern w:val="21"/>
          <w:szCs w:val="21"/>
        </w:rPr>
        <w:t>%</w:t>
      </w:r>
      <w:r w:rsidRPr="00D56DDC">
        <w:rPr>
          <w:kern w:val="21"/>
          <w:szCs w:val="21"/>
        </w:rPr>
        <w:t>。年末</w:t>
      </w:r>
      <w:r w:rsidRPr="00D56DDC">
        <w:rPr>
          <w:rFonts w:hint="eastAsia"/>
          <w:kern w:val="21"/>
          <w:szCs w:val="21"/>
        </w:rPr>
        <w:t>全市城市公交汽车</w:t>
      </w:r>
      <w:r w:rsidRPr="00D56DDC">
        <w:rPr>
          <w:rFonts w:hint="eastAsia"/>
          <w:kern w:val="21"/>
          <w:szCs w:val="21"/>
        </w:rPr>
        <w:t>523</w:t>
      </w:r>
      <w:r w:rsidRPr="00D56DDC">
        <w:rPr>
          <w:rFonts w:hint="eastAsia"/>
          <w:kern w:val="21"/>
          <w:szCs w:val="21"/>
        </w:rPr>
        <w:t>辆，城市公交线路</w:t>
      </w:r>
      <w:r w:rsidRPr="00D56DDC">
        <w:rPr>
          <w:rFonts w:hint="eastAsia"/>
          <w:kern w:val="21"/>
          <w:szCs w:val="21"/>
        </w:rPr>
        <w:t>43</w:t>
      </w:r>
      <w:r w:rsidRPr="00D56DDC">
        <w:rPr>
          <w:rFonts w:hint="eastAsia"/>
          <w:kern w:val="21"/>
          <w:szCs w:val="21"/>
        </w:rPr>
        <w:t>条。全年铁路客运量</w:t>
      </w:r>
      <w:r w:rsidRPr="00D56DDC">
        <w:rPr>
          <w:rFonts w:hint="eastAsia"/>
          <w:kern w:val="21"/>
          <w:szCs w:val="21"/>
        </w:rPr>
        <w:t>217.74</w:t>
      </w:r>
      <w:r w:rsidRPr="00D56DDC">
        <w:rPr>
          <w:rFonts w:hint="eastAsia"/>
          <w:kern w:val="21"/>
          <w:szCs w:val="21"/>
        </w:rPr>
        <w:t>万人次，较上年增长</w:t>
      </w:r>
      <w:r w:rsidRPr="00D56DDC">
        <w:rPr>
          <w:rFonts w:hint="eastAsia"/>
          <w:kern w:val="21"/>
          <w:szCs w:val="21"/>
        </w:rPr>
        <w:t>43.73%</w:t>
      </w:r>
      <w:r w:rsidRPr="00D56DDC">
        <w:rPr>
          <w:rFonts w:hint="eastAsia"/>
          <w:kern w:val="21"/>
          <w:szCs w:val="21"/>
        </w:rPr>
        <w:t>；民航客运量</w:t>
      </w:r>
      <w:r w:rsidRPr="00D56DDC">
        <w:rPr>
          <w:rFonts w:hint="eastAsia"/>
          <w:kern w:val="21"/>
          <w:szCs w:val="21"/>
        </w:rPr>
        <w:t>86.95</w:t>
      </w:r>
      <w:r w:rsidRPr="00D56DDC">
        <w:rPr>
          <w:rFonts w:hint="eastAsia"/>
          <w:kern w:val="21"/>
          <w:szCs w:val="21"/>
        </w:rPr>
        <w:t>万人次，增长</w:t>
      </w:r>
      <w:r w:rsidRPr="00D56DDC">
        <w:rPr>
          <w:rFonts w:hint="eastAsia"/>
          <w:kern w:val="21"/>
          <w:szCs w:val="21"/>
        </w:rPr>
        <w:t>47.07%</w:t>
      </w:r>
      <w:r w:rsidRPr="00D56DDC">
        <w:rPr>
          <w:rFonts w:hint="eastAsia"/>
          <w:kern w:val="21"/>
          <w:szCs w:val="21"/>
        </w:rPr>
        <w:t>；公路客运量</w:t>
      </w:r>
      <w:r w:rsidRPr="00D56DDC">
        <w:rPr>
          <w:rFonts w:hint="eastAsia"/>
          <w:kern w:val="21"/>
          <w:szCs w:val="21"/>
        </w:rPr>
        <w:t>50.44</w:t>
      </w:r>
      <w:r w:rsidRPr="00D56DDC">
        <w:rPr>
          <w:rFonts w:hint="eastAsia"/>
          <w:kern w:val="21"/>
          <w:szCs w:val="21"/>
        </w:rPr>
        <w:t>万人次，下降</w:t>
      </w:r>
      <w:r w:rsidRPr="00D56DDC">
        <w:rPr>
          <w:rFonts w:hint="eastAsia"/>
          <w:kern w:val="21"/>
          <w:szCs w:val="21"/>
        </w:rPr>
        <w:t>9.5</w:t>
      </w:r>
      <w:r w:rsidRPr="00633475">
        <w:rPr>
          <w:rFonts w:hint="eastAsia"/>
          <w:kern w:val="21"/>
          <w:szCs w:val="21"/>
        </w:rPr>
        <w:t>7%</w:t>
      </w:r>
      <w:r w:rsidRPr="00633475">
        <w:rPr>
          <w:rFonts w:hint="eastAsia"/>
          <w:kern w:val="21"/>
          <w:szCs w:val="21"/>
        </w:rPr>
        <w:t>。</w:t>
      </w:r>
    </w:p>
    <w:p w:rsidR="005E7290" w:rsidRPr="00633475" w:rsidRDefault="005E7290" w:rsidP="005E7290">
      <w:pPr>
        <w:adjustRightInd w:val="0"/>
        <w:snapToGrid w:val="0"/>
        <w:spacing w:line="460" w:lineRule="exact"/>
        <w:ind w:firstLineChars="200" w:firstLine="420"/>
        <w:rPr>
          <w:szCs w:val="21"/>
        </w:rPr>
      </w:pPr>
      <w:r w:rsidRPr="00633475">
        <w:rPr>
          <w:rFonts w:hint="eastAsia"/>
          <w:szCs w:val="21"/>
        </w:rPr>
        <w:t>全年旅游业总收入</w:t>
      </w:r>
      <w:r w:rsidRPr="00633475">
        <w:rPr>
          <w:rFonts w:hint="eastAsia"/>
          <w:szCs w:val="21"/>
        </w:rPr>
        <w:t>94.19</w:t>
      </w:r>
      <w:r w:rsidRPr="00633475">
        <w:rPr>
          <w:rFonts w:hint="eastAsia"/>
          <w:szCs w:val="21"/>
        </w:rPr>
        <w:t>亿元，增长</w:t>
      </w:r>
      <w:r w:rsidRPr="00633475">
        <w:rPr>
          <w:rFonts w:hint="eastAsia"/>
          <w:szCs w:val="21"/>
        </w:rPr>
        <w:t>48.53%</w:t>
      </w:r>
      <w:r w:rsidRPr="00633475">
        <w:rPr>
          <w:rFonts w:hint="eastAsia"/>
          <w:szCs w:val="21"/>
        </w:rPr>
        <w:t>。接待游客</w:t>
      </w:r>
      <w:r w:rsidRPr="00633475">
        <w:rPr>
          <w:rFonts w:hint="eastAsia"/>
          <w:szCs w:val="21"/>
        </w:rPr>
        <w:t>1078.07</w:t>
      </w:r>
      <w:r w:rsidRPr="00633475">
        <w:rPr>
          <w:rFonts w:hint="eastAsia"/>
          <w:szCs w:val="21"/>
        </w:rPr>
        <w:t>万人次，增长</w:t>
      </w:r>
      <w:r w:rsidRPr="00633475">
        <w:rPr>
          <w:rFonts w:hint="eastAsia"/>
          <w:szCs w:val="21"/>
        </w:rPr>
        <w:t>45.04%</w:t>
      </w:r>
      <w:r w:rsidRPr="00633475">
        <w:rPr>
          <w:rFonts w:hint="eastAsia"/>
          <w:szCs w:val="21"/>
        </w:rPr>
        <w:t>。入境旅游人数</w:t>
      </w:r>
      <w:r w:rsidRPr="00633475">
        <w:rPr>
          <w:rFonts w:hint="eastAsia"/>
          <w:szCs w:val="21"/>
        </w:rPr>
        <w:t>10551</w:t>
      </w:r>
      <w:r w:rsidRPr="00633475">
        <w:rPr>
          <w:rFonts w:hint="eastAsia"/>
          <w:szCs w:val="21"/>
        </w:rPr>
        <w:t>人次，其中，外国人</w:t>
      </w:r>
      <w:r w:rsidRPr="00633475">
        <w:rPr>
          <w:rFonts w:hint="eastAsia"/>
          <w:szCs w:val="21"/>
        </w:rPr>
        <w:t>5058</w:t>
      </w:r>
      <w:r w:rsidRPr="00633475">
        <w:rPr>
          <w:rFonts w:hint="eastAsia"/>
          <w:szCs w:val="21"/>
        </w:rPr>
        <w:t>人次；香港、澳门和台湾同胞</w:t>
      </w:r>
      <w:r w:rsidRPr="00633475">
        <w:rPr>
          <w:rFonts w:hint="eastAsia"/>
          <w:szCs w:val="21"/>
        </w:rPr>
        <w:t>5493</w:t>
      </w:r>
      <w:r w:rsidRPr="00633475">
        <w:rPr>
          <w:rFonts w:hint="eastAsia"/>
          <w:szCs w:val="21"/>
        </w:rPr>
        <w:t>人次。</w:t>
      </w:r>
    </w:p>
    <w:p w:rsidR="005E7290" w:rsidRPr="00633475" w:rsidRDefault="005E7290" w:rsidP="005E7290">
      <w:pPr>
        <w:adjustRightInd w:val="0"/>
        <w:snapToGrid w:val="0"/>
        <w:spacing w:line="460" w:lineRule="exact"/>
        <w:ind w:firstLineChars="200" w:firstLine="420"/>
        <w:rPr>
          <w:color w:val="FF0000"/>
          <w:szCs w:val="21"/>
        </w:rPr>
      </w:pPr>
      <w:r w:rsidRPr="00633475">
        <w:rPr>
          <w:kern w:val="21"/>
          <w:szCs w:val="21"/>
        </w:rPr>
        <w:t>年末</w:t>
      </w:r>
      <w:r w:rsidRPr="00633475">
        <w:rPr>
          <w:rFonts w:hint="eastAsia"/>
          <w:szCs w:val="21"/>
        </w:rPr>
        <w:t>全市旅游企业</w:t>
      </w:r>
      <w:r w:rsidRPr="00633475">
        <w:rPr>
          <w:rFonts w:hint="eastAsia"/>
          <w:szCs w:val="21"/>
        </w:rPr>
        <w:t>428</w:t>
      </w:r>
      <w:r w:rsidRPr="00633475">
        <w:rPr>
          <w:rFonts w:hint="eastAsia"/>
          <w:szCs w:val="21"/>
        </w:rPr>
        <w:t>家，其中旅行社</w:t>
      </w:r>
      <w:r w:rsidRPr="00633475">
        <w:rPr>
          <w:rFonts w:hint="eastAsia"/>
          <w:szCs w:val="21"/>
        </w:rPr>
        <w:t>27</w:t>
      </w:r>
      <w:r w:rsidRPr="00633475">
        <w:rPr>
          <w:rFonts w:hint="eastAsia"/>
          <w:szCs w:val="21"/>
        </w:rPr>
        <w:t>家；星级饭店</w:t>
      </w:r>
      <w:r w:rsidRPr="00633475">
        <w:rPr>
          <w:rFonts w:hint="eastAsia"/>
          <w:szCs w:val="21"/>
        </w:rPr>
        <w:t>7</w:t>
      </w:r>
      <w:r w:rsidRPr="00633475">
        <w:rPr>
          <w:rFonts w:hint="eastAsia"/>
          <w:szCs w:val="21"/>
        </w:rPr>
        <w:t>家（五星级</w:t>
      </w:r>
      <w:r w:rsidRPr="00633475">
        <w:rPr>
          <w:rFonts w:hint="eastAsia"/>
          <w:szCs w:val="21"/>
        </w:rPr>
        <w:t>1</w:t>
      </w:r>
      <w:r w:rsidRPr="00633475">
        <w:rPr>
          <w:rFonts w:hint="eastAsia"/>
          <w:szCs w:val="21"/>
        </w:rPr>
        <w:t>家、四星级</w:t>
      </w:r>
      <w:r w:rsidRPr="00633475">
        <w:rPr>
          <w:rFonts w:hint="eastAsia"/>
          <w:szCs w:val="21"/>
        </w:rPr>
        <w:t>1</w:t>
      </w:r>
      <w:r w:rsidRPr="00633475">
        <w:rPr>
          <w:rFonts w:hint="eastAsia"/>
          <w:szCs w:val="21"/>
        </w:rPr>
        <w:t>家、三星级</w:t>
      </w:r>
      <w:r w:rsidRPr="00633475">
        <w:rPr>
          <w:rFonts w:hint="eastAsia"/>
          <w:szCs w:val="21"/>
        </w:rPr>
        <w:t>5</w:t>
      </w:r>
      <w:r w:rsidRPr="00633475">
        <w:rPr>
          <w:rFonts w:hint="eastAsia"/>
          <w:szCs w:val="21"/>
        </w:rPr>
        <w:t>家）；景区景点</w:t>
      </w:r>
      <w:r w:rsidRPr="00633475">
        <w:rPr>
          <w:rFonts w:hint="eastAsia"/>
          <w:szCs w:val="21"/>
        </w:rPr>
        <w:t>37</w:t>
      </w:r>
      <w:r w:rsidRPr="00633475">
        <w:rPr>
          <w:rFonts w:hint="eastAsia"/>
          <w:szCs w:val="21"/>
        </w:rPr>
        <w:t>家；“农家乐”</w:t>
      </w:r>
      <w:r w:rsidRPr="00633475">
        <w:rPr>
          <w:rFonts w:hint="eastAsia"/>
          <w:szCs w:val="21"/>
        </w:rPr>
        <w:t>80</w:t>
      </w:r>
      <w:r w:rsidRPr="00633475">
        <w:rPr>
          <w:rFonts w:hint="eastAsia"/>
          <w:szCs w:val="21"/>
        </w:rPr>
        <w:t>家；滑雪场</w:t>
      </w:r>
      <w:r w:rsidRPr="00633475">
        <w:rPr>
          <w:rFonts w:hint="eastAsia"/>
          <w:szCs w:val="21"/>
        </w:rPr>
        <w:t>4</w:t>
      </w:r>
      <w:r w:rsidRPr="00633475">
        <w:rPr>
          <w:rFonts w:hint="eastAsia"/>
          <w:szCs w:val="21"/>
        </w:rPr>
        <w:t>家。旅游业直接从业人员</w:t>
      </w:r>
      <w:r w:rsidRPr="00633475">
        <w:rPr>
          <w:rFonts w:hint="eastAsia"/>
          <w:szCs w:val="21"/>
        </w:rPr>
        <w:t>18405</w:t>
      </w:r>
      <w:r w:rsidRPr="00633475">
        <w:rPr>
          <w:rFonts w:hint="eastAsia"/>
          <w:szCs w:val="21"/>
        </w:rPr>
        <w:t>人。拥有国家级</w:t>
      </w:r>
      <w:r w:rsidRPr="00633475">
        <w:rPr>
          <w:rFonts w:hint="eastAsia"/>
          <w:szCs w:val="21"/>
        </w:rPr>
        <w:t>A</w:t>
      </w:r>
      <w:r w:rsidRPr="00633475">
        <w:rPr>
          <w:rFonts w:hint="eastAsia"/>
          <w:szCs w:val="21"/>
        </w:rPr>
        <w:t>级旅游景区</w:t>
      </w:r>
      <w:r w:rsidRPr="00633475">
        <w:rPr>
          <w:rFonts w:hint="eastAsia"/>
          <w:szCs w:val="21"/>
        </w:rPr>
        <w:t>13</w:t>
      </w:r>
      <w:r w:rsidRPr="00633475">
        <w:rPr>
          <w:rFonts w:hint="eastAsia"/>
          <w:szCs w:val="21"/>
        </w:rPr>
        <w:t>个，其中，国家级</w:t>
      </w:r>
      <w:r w:rsidRPr="00633475">
        <w:rPr>
          <w:rFonts w:hint="eastAsia"/>
          <w:szCs w:val="21"/>
        </w:rPr>
        <w:t>4A</w:t>
      </w:r>
      <w:r w:rsidRPr="00633475">
        <w:rPr>
          <w:rFonts w:hint="eastAsia"/>
          <w:szCs w:val="21"/>
        </w:rPr>
        <w:t>级旅游景区</w:t>
      </w:r>
      <w:r w:rsidRPr="00633475">
        <w:rPr>
          <w:rFonts w:hint="eastAsia"/>
          <w:szCs w:val="21"/>
        </w:rPr>
        <w:t>2</w:t>
      </w:r>
      <w:r w:rsidRPr="00633475">
        <w:rPr>
          <w:rFonts w:hint="eastAsia"/>
          <w:szCs w:val="21"/>
        </w:rPr>
        <w:t>个，国家级</w:t>
      </w:r>
      <w:r w:rsidRPr="00633475">
        <w:rPr>
          <w:rFonts w:hint="eastAsia"/>
          <w:szCs w:val="21"/>
        </w:rPr>
        <w:t>3A</w:t>
      </w:r>
      <w:r w:rsidRPr="00633475">
        <w:rPr>
          <w:rFonts w:hint="eastAsia"/>
          <w:szCs w:val="21"/>
        </w:rPr>
        <w:t>级旅游景区</w:t>
      </w:r>
      <w:r w:rsidRPr="00633475">
        <w:rPr>
          <w:rFonts w:hint="eastAsia"/>
          <w:szCs w:val="21"/>
        </w:rPr>
        <w:t>10</w:t>
      </w:r>
      <w:r w:rsidRPr="00633475">
        <w:rPr>
          <w:rFonts w:hint="eastAsia"/>
          <w:szCs w:val="21"/>
        </w:rPr>
        <w:t>个，国家级</w:t>
      </w:r>
      <w:r w:rsidRPr="00633475">
        <w:rPr>
          <w:rFonts w:hint="eastAsia"/>
          <w:szCs w:val="21"/>
        </w:rPr>
        <w:t>2A</w:t>
      </w:r>
      <w:r w:rsidRPr="00633475">
        <w:rPr>
          <w:rFonts w:hint="eastAsia"/>
          <w:szCs w:val="21"/>
        </w:rPr>
        <w:t>级旅游景区</w:t>
      </w:r>
      <w:r w:rsidRPr="00633475">
        <w:rPr>
          <w:rFonts w:hint="eastAsia"/>
          <w:szCs w:val="21"/>
        </w:rPr>
        <w:t>1</w:t>
      </w:r>
      <w:r w:rsidRPr="00633475">
        <w:rPr>
          <w:rFonts w:hint="eastAsia"/>
          <w:szCs w:val="21"/>
        </w:rPr>
        <w:t>个。</w:t>
      </w:r>
    </w:p>
    <w:p w:rsidR="005D4CB7" w:rsidRPr="007A05D6" w:rsidRDefault="005D4CB7" w:rsidP="00AF2873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eastAsia="方正黑体简体"/>
          <w:color w:val="FF0000"/>
          <w:kern w:val="21"/>
          <w:sz w:val="24"/>
        </w:rPr>
      </w:pPr>
      <w:r w:rsidRPr="007A05D6">
        <w:rPr>
          <w:rFonts w:eastAsia="方正黑体简体" w:hint="eastAsia"/>
          <w:kern w:val="21"/>
          <w:sz w:val="24"/>
        </w:rPr>
        <w:t>六、国内贸易和市场物价</w:t>
      </w:r>
    </w:p>
    <w:p w:rsidR="009F1105" w:rsidRDefault="009A10E1" w:rsidP="009F1105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rPr>
          <w:szCs w:val="21"/>
        </w:rPr>
      </w:pPr>
      <w:r w:rsidRPr="00825A99">
        <w:rPr>
          <w:rFonts w:hint="eastAsia"/>
          <w:szCs w:val="21"/>
        </w:rPr>
        <w:t>全年</w:t>
      </w:r>
      <w:r w:rsidR="009F1105">
        <w:rPr>
          <w:rFonts w:hint="eastAsia"/>
          <w:snapToGrid w:val="0"/>
          <w:kern w:val="0"/>
          <w:szCs w:val="21"/>
          <w:lang w:val="zh-CN"/>
        </w:rPr>
        <w:t>实现</w:t>
      </w:r>
      <w:r w:rsidR="009F1105">
        <w:rPr>
          <w:rFonts w:hint="eastAsia"/>
          <w:szCs w:val="21"/>
        </w:rPr>
        <w:t>社会消费品零售总额</w:t>
      </w:r>
      <w:r w:rsidR="009F1105">
        <w:rPr>
          <w:rFonts w:hint="eastAsia"/>
          <w:szCs w:val="21"/>
        </w:rPr>
        <w:t>73.3</w:t>
      </w:r>
      <w:r w:rsidR="009F1105">
        <w:rPr>
          <w:rFonts w:hint="eastAsia"/>
          <w:szCs w:val="21"/>
        </w:rPr>
        <w:t>亿元，比上年增长</w:t>
      </w:r>
      <w:r w:rsidR="009F1105">
        <w:rPr>
          <w:rFonts w:hint="eastAsia"/>
          <w:szCs w:val="21"/>
        </w:rPr>
        <w:t>4.0%</w:t>
      </w:r>
      <w:r w:rsidR="009F1105">
        <w:rPr>
          <w:rFonts w:hint="eastAsia"/>
          <w:szCs w:val="21"/>
        </w:rPr>
        <w:t>，扣除价格因素，实际增长</w:t>
      </w:r>
      <w:r w:rsidR="009F1105">
        <w:rPr>
          <w:rFonts w:hint="eastAsia"/>
          <w:szCs w:val="21"/>
        </w:rPr>
        <w:t>2.8%</w:t>
      </w:r>
      <w:r w:rsidR="009F1105">
        <w:rPr>
          <w:rFonts w:hint="eastAsia"/>
          <w:szCs w:val="21"/>
        </w:rPr>
        <w:t>。</w:t>
      </w:r>
    </w:p>
    <w:p w:rsidR="009F1105" w:rsidRDefault="009F1105" w:rsidP="009F1105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按行业统计，批发和零售业零售额</w:t>
      </w:r>
      <w:r>
        <w:rPr>
          <w:rFonts w:hint="eastAsia"/>
          <w:szCs w:val="21"/>
        </w:rPr>
        <w:t>63.8</w:t>
      </w:r>
      <w:r>
        <w:rPr>
          <w:rFonts w:hint="eastAsia"/>
          <w:szCs w:val="21"/>
        </w:rPr>
        <w:t>亿元，增长</w:t>
      </w:r>
      <w:r>
        <w:rPr>
          <w:rFonts w:hint="eastAsia"/>
          <w:szCs w:val="21"/>
        </w:rPr>
        <w:t>3.5%</w:t>
      </w:r>
      <w:r>
        <w:rPr>
          <w:rFonts w:hint="eastAsia"/>
          <w:szCs w:val="21"/>
        </w:rPr>
        <w:t>；住宿和餐饮业零售额</w:t>
      </w:r>
      <w:r>
        <w:rPr>
          <w:rFonts w:hint="eastAsia"/>
          <w:szCs w:val="21"/>
        </w:rPr>
        <w:t>9.5</w:t>
      </w:r>
      <w:r>
        <w:rPr>
          <w:rFonts w:hint="eastAsia"/>
          <w:szCs w:val="21"/>
        </w:rPr>
        <w:t>亿元，增长</w:t>
      </w:r>
      <w:r>
        <w:rPr>
          <w:rFonts w:hint="eastAsia"/>
          <w:szCs w:val="21"/>
        </w:rPr>
        <w:t>7.7%</w:t>
      </w:r>
      <w:r>
        <w:rPr>
          <w:rFonts w:hint="eastAsia"/>
          <w:szCs w:val="21"/>
        </w:rPr>
        <w:t>。按经营地统计，城镇消费品零售额</w:t>
      </w:r>
      <w:r>
        <w:rPr>
          <w:rFonts w:hint="eastAsia"/>
          <w:szCs w:val="21"/>
        </w:rPr>
        <w:t>72.8</w:t>
      </w:r>
      <w:r>
        <w:rPr>
          <w:rFonts w:hint="eastAsia"/>
          <w:szCs w:val="21"/>
        </w:rPr>
        <w:t>亿元，比上年增长</w:t>
      </w:r>
      <w:r>
        <w:rPr>
          <w:rFonts w:hint="eastAsia"/>
          <w:szCs w:val="21"/>
        </w:rPr>
        <w:t>4.0%</w:t>
      </w:r>
      <w:r>
        <w:rPr>
          <w:rFonts w:hint="eastAsia"/>
          <w:szCs w:val="21"/>
        </w:rPr>
        <w:t>；乡村消费品零售额</w:t>
      </w:r>
      <w:r>
        <w:rPr>
          <w:rFonts w:hint="eastAsia"/>
          <w:szCs w:val="21"/>
        </w:rPr>
        <w:t>0.5</w:t>
      </w:r>
      <w:r>
        <w:rPr>
          <w:rFonts w:hint="eastAsia"/>
          <w:szCs w:val="21"/>
        </w:rPr>
        <w:t>亿元，增长</w:t>
      </w:r>
      <w:r>
        <w:rPr>
          <w:rFonts w:hint="eastAsia"/>
          <w:szCs w:val="21"/>
        </w:rPr>
        <w:t>16.3%</w:t>
      </w:r>
      <w:r>
        <w:rPr>
          <w:rFonts w:hint="eastAsia"/>
          <w:szCs w:val="21"/>
        </w:rPr>
        <w:t>。按消费类型统计，商品零售额</w:t>
      </w:r>
      <w:r>
        <w:rPr>
          <w:rFonts w:hint="eastAsia"/>
          <w:szCs w:val="21"/>
        </w:rPr>
        <w:t>63.8</w:t>
      </w:r>
      <w:r>
        <w:rPr>
          <w:rFonts w:hint="eastAsia"/>
          <w:szCs w:val="21"/>
        </w:rPr>
        <w:t>亿元，增长</w:t>
      </w:r>
      <w:r>
        <w:rPr>
          <w:rFonts w:hint="eastAsia"/>
          <w:szCs w:val="21"/>
        </w:rPr>
        <w:t>3.3%</w:t>
      </w:r>
      <w:r>
        <w:rPr>
          <w:rFonts w:hint="eastAsia"/>
          <w:szCs w:val="21"/>
        </w:rPr>
        <w:t>；餐饮收入额</w:t>
      </w:r>
      <w:r>
        <w:rPr>
          <w:rFonts w:hint="eastAsia"/>
          <w:szCs w:val="21"/>
        </w:rPr>
        <w:t>9.5</w:t>
      </w:r>
      <w:r>
        <w:rPr>
          <w:rFonts w:hint="eastAsia"/>
          <w:szCs w:val="21"/>
        </w:rPr>
        <w:t>亿元，增长</w:t>
      </w:r>
      <w:r>
        <w:rPr>
          <w:rFonts w:hint="eastAsia"/>
          <w:szCs w:val="21"/>
        </w:rPr>
        <w:t>8.9%</w:t>
      </w:r>
      <w:r>
        <w:rPr>
          <w:rFonts w:hint="eastAsia"/>
          <w:szCs w:val="21"/>
        </w:rPr>
        <w:t>。</w:t>
      </w:r>
    </w:p>
    <w:p w:rsidR="009F1105" w:rsidRDefault="009F1105" w:rsidP="009F1105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从销售商品分类看，在限额以上批发和零售业商品零售额中，服装、鞋帽、针纺织品类比上年增长</w:t>
      </w:r>
      <w:r>
        <w:rPr>
          <w:rFonts w:hint="eastAsia"/>
          <w:szCs w:val="21"/>
        </w:rPr>
        <w:t>0.9%</w:t>
      </w:r>
      <w:r>
        <w:rPr>
          <w:rFonts w:hint="eastAsia"/>
          <w:szCs w:val="21"/>
        </w:rPr>
        <w:t>，石油及制品类增长</w:t>
      </w:r>
      <w:r>
        <w:rPr>
          <w:rFonts w:hint="eastAsia"/>
          <w:szCs w:val="21"/>
        </w:rPr>
        <w:t>1.5%</w:t>
      </w:r>
      <w:r>
        <w:rPr>
          <w:rFonts w:hint="eastAsia"/>
          <w:szCs w:val="21"/>
        </w:rPr>
        <w:t>，汽车类增长</w:t>
      </w:r>
      <w:r>
        <w:rPr>
          <w:rFonts w:hint="eastAsia"/>
          <w:szCs w:val="21"/>
        </w:rPr>
        <w:t>4.2%</w:t>
      </w:r>
      <w:r>
        <w:rPr>
          <w:rFonts w:hint="eastAsia"/>
          <w:szCs w:val="21"/>
        </w:rPr>
        <w:t>，粮油、食品、饮料、烟酒类零售额增长</w:t>
      </w:r>
      <w:r>
        <w:rPr>
          <w:rFonts w:hint="eastAsia"/>
          <w:szCs w:val="21"/>
        </w:rPr>
        <w:t>5.7%</w:t>
      </w:r>
      <w:r>
        <w:rPr>
          <w:rFonts w:hint="eastAsia"/>
          <w:szCs w:val="21"/>
        </w:rPr>
        <w:t>，日用品类增长</w:t>
      </w:r>
      <w:r>
        <w:rPr>
          <w:rFonts w:hint="eastAsia"/>
          <w:szCs w:val="21"/>
        </w:rPr>
        <w:t>18.0%</w:t>
      </w:r>
      <w:r>
        <w:rPr>
          <w:rFonts w:hint="eastAsia"/>
          <w:szCs w:val="21"/>
        </w:rPr>
        <w:t>，书报杂志类增长</w:t>
      </w:r>
      <w:r>
        <w:rPr>
          <w:rFonts w:hint="eastAsia"/>
          <w:szCs w:val="21"/>
        </w:rPr>
        <w:t>35.2%</w:t>
      </w:r>
      <w:r>
        <w:rPr>
          <w:rFonts w:hint="eastAsia"/>
          <w:szCs w:val="21"/>
        </w:rPr>
        <w:t>，家用电器和音像器材类下降</w:t>
      </w:r>
      <w:r>
        <w:rPr>
          <w:rFonts w:hint="eastAsia"/>
          <w:szCs w:val="21"/>
        </w:rPr>
        <w:t>1.6%</w:t>
      </w:r>
      <w:r>
        <w:rPr>
          <w:rFonts w:hint="eastAsia"/>
          <w:szCs w:val="21"/>
        </w:rPr>
        <w:t>，通讯器材类下降</w:t>
      </w:r>
      <w:r>
        <w:rPr>
          <w:rFonts w:hint="eastAsia"/>
          <w:szCs w:val="21"/>
        </w:rPr>
        <w:t>5.7%</w:t>
      </w:r>
      <w:r>
        <w:rPr>
          <w:rFonts w:hint="eastAsia"/>
          <w:szCs w:val="21"/>
        </w:rPr>
        <w:t>，金银珠宝类下降</w:t>
      </w:r>
      <w:r>
        <w:rPr>
          <w:rFonts w:hint="eastAsia"/>
          <w:szCs w:val="21"/>
        </w:rPr>
        <w:t>12.5%</w:t>
      </w:r>
      <w:r>
        <w:rPr>
          <w:rFonts w:hint="eastAsia"/>
          <w:szCs w:val="21"/>
        </w:rPr>
        <w:t>，中西药品类下降</w:t>
      </w:r>
      <w:r>
        <w:rPr>
          <w:rFonts w:hint="eastAsia"/>
          <w:szCs w:val="21"/>
        </w:rPr>
        <w:t>19.8%</w:t>
      </w:r>
      <w:r>
        <w:rPr>
          <w:rFonts w:hint="eastAsia"/>
          <w:szCs w:val="21"/>
        </w:rPr>
        <w:t>，文化办公用品类下降</w:t>
      </w:r>
      <w:r>
        <w:rPr>
          <w:rFonts w:hint="eastAsia"/>
          <w:szCs w:val="21"/>
        </w:rPr>
        <w:t>32.9%</w:t>
      </w:r>
      <w:r>
        <w:rPr>
          <w:rFonts w:hint="eastAsia"/>
          <w:szCs w:val="21"/>
        </w:rPr>
        <w:t>。</w:t>
      </w:r>
    </w:p>
    <w:p w:rsidR="005D4CB7" w:rsidRPr="007A05D6" w:rsidRDefault="005D4CB7" w:rsidP="009F1105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rPr>
          <w:kern w:val="21"/>
          <w:szCs w:val="21"/>
        </w:rPr>
      </w:pPr>
      <w:r w:rsidRPr="00C41ECD">
        <w:rPr>
          <w:rFonts w:hint="eastAsia"/>
          <w:snapToGrid w:val="0"/>
          <w:kern w:val="0"/>
          <w:szCs w:val="21"/>
        </w:rPr>
        <w:t>全年</w:t>
      </w:r>
      <w:r w:rsidR="001E1E41" w:rsidRPr="00C41ECD">
        <w:rPr>
          <w:rFonts w:hint="eastAsia"/>
          <w:snapToGrid w:val="0"/>
          <w:kern w:val="0"/>
          <w:szCs w:val="21"/>
        </w:rPr>
        <w:t>外贸</w:t>
      </w:r>
      <w:r w:rsidRPr="00C41ECD">
        <w:rPr>
          <w:rFonts w:hint="eastAsia"/>
          <w:snapToGrid w:val="0"/>
          <w:kern w:val="0"/>
          <w:szCs w:val="21"/>
        </w:rPr>
        <w:t>进出口额</w:t>
      </w:r>
      <w:r w:rsidR="00F8718D" w:rsidRPr="00C41ECD">
        <w:rPr>
          <w:rFonts w:hint="eastAsia"/>
          <w:snapToGrid w:val="0"/>
          <w:kern w:val="0"/>
          <w:szCs w:val="21"/>
        </w:rPr>
        <w:t>7029.1</w:t>
      </w:r>
      <w:r w:rsidRPr="00C41ECD">
        <w:rPr>
          <w:rFonts w:hint="eastAsia"/>
          <w:snapToGrid w:val="0"/>
          <w:kern w:val="0"/>
          <w:szCs w:val="21"/>
        </w:rPr>
        <w:t>万美元，比上年</w:t>
      </w:r>
      <w:r w:rsidR="00F8718D" w:rsidRPr="00C41ECD">
        <w:rPr>
          <w:rFonts w:hint="eastAsia"/>
          <w:snapToGrid w:val="0"/>
          <w:kern w:val="0"/>
          <w:szCs w:val="21"/>
        </w:rPr>
        <w:t>下降</w:t>
      </w:r>
      <w:r w:rsidR="001E1E41" w:rsidRPr="00C41ECD">
        <w:rPr>
          <w:rFonts w:hint="eastAsia"/>
          <w:snapToGrid w:val="0"/>
          <w:kern w:val="0"/>
          <w:szCs w:val="21"/>
        </w:rPr>
        <w:t>4</w:t>
      </w:r>
      <w:r w:rsidR="00F8718D" w:rsidRPr="00C41ECD">
        <w:rPr>
          <w:rFonts w:hint="eastAsia"/>
          <w:snapToGrid w:val="0"/>
          <w:kern w:val="0"/>
          <w:szCs w:val="21"/>
        </w:rPr>
        <w:t>7.2</w:t>
      </w:r>
      <w:r w:rsidRPr="00C41ECD">
        <w:rPr>
          <w:snapToGrid w:val="0"/>
          <w:kern w:val="0"/>
          <w:szCs w:val="21"/>
        </w:rPr>
        <w:t>%</w:t>
      </w:r>
      <w:r w:rsidRPr="00C41ECD">
        <w:rPr>
          <w:rFonts w:hint="eastAsia"/>
          <w:snapToGrid w:val="0"/>
          <w:kern w:val="0"/>
          <w:szCs w:val="21"/>
        </w:rPr>
        <w:t>，其中，出口</w:t>
      </w:r>
      <w:r w:rsidR="00F8718D" w:rsidRPr="00C41ECD">
        <w:rPr>
          <w:rFonts w:hint="eastAsia"/>
          <w:snapToGrid w:val="0"/>
          <w:kern w:val="0"/>
          <w:szCs w:val="21"/>
        </w:rPr>
        <w:t>4855.2</w:t>
      </w:r>
      <w:r w:rsidRPr="00C41ECD">
        <w:rPr>
          <w:rFonts w:hint="eastAsia"/>
          <w:snapToGrid w:val="0"/>
          <w:kern w:val="0"/>
          <w:szCs w:val="21"/>
        </w:rPr>
        <w:t>万美元，</w:t>
      </w:r>
      <w:r w:rsidR="00F8718D" w:rsidRPr="00C41ECD">
        <w:rPr>
          <w:rFonts w:hint="eastAsia"/>
          <w:snapToGrid w:val="0"/>
          <w:kern w:val="0"/>
          <w:szCs w:val="21"/>
        </w:rPr>
        <w:t>下降</w:t>
      </w:r>
      <w:r w:rsidR="00F8718D" w:rsidRPr="00C41ECD">
        <w:rPr>
          <w:rFonts w:hint="eastAsia"/>
          <w:snapToGrid w:val="0"/>
          <w:kern w:val="0"/>
          <w:szCs w:val="21"/>
        </w:rPr>
        <w:t>51.8</w:t>
      </w:r>
      <w:r w:rsidRPr="00C41ECD">
        <w:rPr>
          <w:snapToGrid w:val="0"/>
          <w:kern w:val="0"/>
          <w:szCs w:val="21"/>
        </w:rPr>
        <w:t>%</w:t>
      </w:r>
      <w:r w:rsidRPr="00C41ECD">
        <w:rPr>
          <w:rFonts w:hint="eastAsia"/>
          <w:snapToGrid w:val="0"/>
          <w:kern w:val="0"/>
          <w:szCs w:val="21"/>
        </w:rPr>
        <w:t>；进口</w:t>
      </w:r>
      <w:r w:rsidR="00F8718D" w:rsidRPr="00C41ECD">
        <w:rPr>
          <w:rFonts w:hint="eastAsia"/>
          <w:snapToGrid w:val="0"/>
          <w:kern w:val="0"/>
          <w:szCs w:val="21"/>
        </w:rPr>
        <w:t>2173.9</w:t>
      </w:r>
      <w:r w:rsidRPr="00C41ECD">
        <w:rPr>
          <w:rFonts w:hint="eastAsia"/>
          <w:snapToGrid w:val="0"/>
          <w:kern w:val="0"/>
          <w:szCs w:val="21"/>
        </w:rPr>
        <w:t>万美元，</w:t>
      </w:r>
      <w:r w:rsidR="00F8718D" w:rsidRPr="00C41ECD">
        <w:rPr>
          <w:rFonts w:hint="eastAsia"/>
          <w:snapToGrid w:val="0"/>
          <w:kern w:val="0"/>
          <w:szCs w:val="21"/>
        </w:rPr>
        <w:t>下降</w:t>
      </w:r>
      <w:r w:rsidR="00F8718D" w:rsidRPr="00C41ECD">
        <w:rPr>
          <w:rFonts w:hint="eastAsia"/>
          <w:snapToGrid w:val="0"/>
          <w:kern w:val="0"/>
          <w:szCs w:val="21"/>
        </w:rPr>
        <w:t>33.0</w:t>
      </w:r>
      <w:r w:rsidRPr="00C41ECD">
        <w:rPr>
          <w:snapToGrid w:val="0"/>
          <w:kern w:val="0"/>
          <w:szCs w:val="21"/>
        </w:rPr>
        <w:t>%</w:t>
      </w:r>
      <w:r w:rsidRPr="00C41ECD">
        <w:rPr>
          <w:rFonts w:hint="eastAsia"/>
          <w:snapToGrid w:val="0"/>
          <w:kern w:val="0"/>
          <w:szCs w:val="21"/>
        </w:rPr>
        <w:t>。</w:t>
      </w:r>
    </w:p>
    <w:p w:rsidR="0035715A" w:rsidRDefault="0005159C" w:rsidP="00E77289">
      <w:pPr>
        <w:adjustRightInd w:val="0"/>
        <w:snapToGrid w:val="0"/>
        <w:spacing w:line="460" w:lineRule="exact"/>
        <w:ind w:firstLineChars="200" w:firstLine="420"/>
        <w:rPr>
          <w:snapToGrid w:val="0"/>
          <w:kern w:val="0"/>
          <w:szCs w:val="21"/>
        </w:rPr>
      </w:pPr>
      <w:r>
        <w:rPr>
          <w:rFonts w:hint="eastAsia"/>
          <w:szCs w:val="21"/>
        </w:rPr>
        <w:t>全年</w:t>
      </w:r>
      <w:r w:rsidR="009A49E5" w:rsidRPr="007A05D6">
        <w:rPr>
          <w:rFonts w:hint="eastAsia"/>
          <w:snapToGrid w:val="0"/>
          <w:kern w:val="0"/>
          <w:szCs w:val="21"/>
        </w:rPr>
        <w:t>居民消费价格比上年</w:t>
      </w:r>
      <w:r>
        <w:rPr>
          <w:rFonts w:hint="eastAsia"/>
          <w:snapToGrid w:val="0"/>
          <w:kern w:val="0"/>
          <w:szCs w:val="21"/>
        </w:rPr>
        <w:t>上</w:t>
      </w:r>
      <w:r w:rsidR="009A49E5" w:rsidRPr="007A05D6">
        <w:rPr>
          <w:rFonts w:hint="eastAsia"/>
          <w:snapToGrid w:val="0"/>
          <w:kern w:val="0"/>
          <w:szCs w:val="21"/>
        </w:rPr>
        <w:t>涨</w:t>
      </w:r>
      <w:r w:rsidR="001E1E41">
        <w:rPr>
          <w:rFonts w:hint="eastAsia"/>
          <w:snapToGrid w:val="0"/>
          <w:kern w:val="0"/>
          <w:szCs w:val="21"/>
        </w:rPr>
        <w:t>1.</w:t>
      </w:r>
      <w:r w:rsidR="00E77289">
        <w:rPr>
          <w:rFonts w:hint="eastAsia"/>
          <w:snapToGrid w:val="0"/>
          <w:kern w:val="0"/>
          <w:szCs w:val="21"/>
        </w:rPr>
        <w:t>8</w:t>
      </w:r>
      <w:r w:rsidR="009A49E5" w:rsidRPr="007A05D6">
        <w:rPr>
          <w:rFonts w:hint="eastAsia"/>
          <w:snapToGrid w:val="0"/>
          <w:kern w:val="0"/>
          <w:szCs w:val="21"/>
        </w:rPr>
        <w:t>%</w:t>
      </w:r>
      <w:r w:rsidR="009A49E5" w:rsidRPr="007A05D6">
        <w:rPr>
          <w:rFonts w:hint="eastAsia"/>
          <w:snapToGrid w:val="0"/>
          <w:kern w:val="0"/>
          <w:szCs w:val="21"/>
        </w:rPr>
        <w:t>，</w:t>
      </w:r>
      <w:r w:rsidR="002F3BE9" w:rsidRPr="002F3BE9">
        <w:rPr>
          <w:rFonts w:hint="eastAsia"/>
          <w:snapToGrid w:val="0"/>
          <w:kern w:val="0"/>
          <w:szCs w:val="21"/>
        </w:rPr>
        <w:t>商品零售价格</w:t>
      </w:r>
      <w:r w:rsidR="002F3BE9" w:rsidRPr="007A05D6">
        <w:rPr>
          <w:rFonts w:hint="eastAsia"/>
          <w:snapToGrid w:val="0"/>
          <w:kern w:val="0"/>
          <w:szCs w:val="21"/>
        </w:rPr>
        <w:t>比上年</w:t>
      </w:r>
      <w:r w:rsidR="002F3BE9">
        <w:rPr>
          <w:rFonts w:hint="eastAsia"/>
          <w:snapToGrid w:val="0"/>
          <w:kern w:val="0"/>
          <w:szCs w:val="21"/>
        </w:rPr>
        <w:t>上</w:t>
      </w:r>
      <w:r w:rsidR="002F3BE9" w:rsidRPr="002C2D1A">
        <w:rPr>
          <w:rFonts w:hint="eastAsia"/>
          <w:snapToGrid w:val="0"/>
          <w:kern w:val="0"/>
          <w:szCs w:val="21"/>
        </w:rPr>
        <w:t>涨</w:t>
      </w:r>
      <w:r w:rsidR="002C2D1A" w:rsidRPr="002C2D1A">
        <w:rPr>
          <w:rFonts w:hint="eastAsia"/>
          <w:snapToGrid w:val="0"/>
          <w:kern w:val="0"/>
          <w:szCs w:val="21"/>
        </w:rPr>
        <w:t>1.2</w:t>
      </w:r>
      <w:r w:rsidR="002F3BE9" w:rsidRPr="002C2D1A">
        <w:rPr>
          <w:rFonts w:hint="eastAsia"/>
          <w:snapToGrid w:val="0"/>
          <w:kern w:val="0"/>
          <w:szCs w:val="21"/>
        </w:rPr>
        <w:t>%</w:t>
      </w:r>
      <w:r w:rsidR="009A49E5" w:rsidRPr="002C2D1A">
        <w:rPr>
          <w:rFonts w:hint="eastAsia"/>
          <w:snapToGrid w:val="0"/>
          <w:kern w:val="0"/>
          <w:szCs w:val="21"/>
        </w:rPr>
        <w:t>。</w:t>
      </w:r>
    </w:p>
    <w:p w:rsidR="00465593" w:rsidRDefault="00465593" w:rsidP="00465593">
      <w:pPr>
        <w:adjustRightInd w:val="0"/>
        <w:snapToGrid w:val="0"/>
        <w:spacing w:line="460" w:lineRule="exact"/>
        <w:ind w:firstLineChars="200" w:firstLine="420"/>
        <w:rPr>
          <w:snapToGrid w:val="0"/>
          <w:kern w:val="0"/>
          <w:szCs w:val="21"/>
        </w:rPr>
      </w:pPr>
    </w:p>
    <w:p w:rsidR="00465593" w:rsidRPr="002F3BE9" w:rsidRDefault="00465593" w:rsidP="00465593">
      <w:pPr>
        <w:adjustRightInd w:val="0"/>
        <w:snapToGrid w:val="0"/>
        <w:spacing w:line="460" w:lineRule="exact"/>
        <w:ind w:firstLineChars="200" w:firstLine="480"/>
        <w:rPr>
          <w:rFonts w:eastAsia="方正宋黑简体"/>
          <w:kern w:val="21"/>
          <w:sz w:val="24"/>
        </w:rPr>
      </w:pPr>
    </w:p>
    <w:p w:rsidR="0035715A" w:rsidRPr="007A05D6" w:rsidRDefault="0035715A" w:rsidP="009A49E5">
      <w:pPr>
        <w:adjustRightInd w:val="0"/>
        <w:snapToGrid w:val="0"/>
        <w:spacing w:line="300" w:lineRule="exact"/>
        <w:ind w:firstLineChars="200" w:firstLine="480"/>
        <w:jc w:val="center"/>
        <w:rPr>
          <w:rFonts w:eastAsia="方正宋黑简体"/>
          <w:kern w:val="21"/>
          <w:sz w:val="24"/>
        </w:rPr>
      </w:pPr>
    </w:p>
    <w:p w:rsidR="00E77289" w:rsidRDefault="005D4CB7" w:rsidP="009A49E5">
      <w:pPr>
        <w:adjustRightInd w:val="0"/>
        <w:snapToGrid w:val="0"/>
        <w:spacing w:line="300" w:lineRule="exact"/>
        <w:ind w:firstLineChars="200" w:firstLine="480"/>
        <w:jc w:val="center"/>
        <w:rPr>
          <w:rFonts w:eastAsia="方正宋黑简体"/>
          <w:kern w:val="21"/>
          <w:sz w:val="24"/>
        </w:rPr>
      </w:pPr>
      <w:r w:rsidRPr="007A05D6">
        <w:rPr>
          <w:rFonts w:eastAsia="方正宋黑简体"/>
          <w:kern w:val="21"/>
          <w:sz w:val="24"/>
        </w:rPr>
        <w:t>201</w:t>
      </w:r>
      <w:r w:rsidR="00E77289">
        <w:rPr>
          <w:rFonts w:eastAsia="方正宋黑简体" w:hint="eastAsia"/>
          <w:kern w:val="21"/>
          <w:sz w:val="24"/>
        </w:rPr>
        <w:t>9</w:t>
      </w:r>
      <w:r w:rsidRPr="007A05D6">
        <w:rPr>
          <w:rFonts w:eastAsia="方正宋黑简体" w:hint="eastAsia"/>
          <w:kern w:val="21"/>
          <w:sz w:val="24"/>
        </w:rPr>
        <w:t>年居民消费价格比上年涨跌幅度</w:t>
      </w:r>
    </w:p>
    <w:tbl>
      <w:tblPr>
        <w:tblW w:w="9639" w:type="dxa"/>
        <w:jc w:val="center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6204"/>
        <w:gridCol w:w="3435"/>
      </w:tblGrid>
      <w:tr w:rsidR="00E77289" w:rsidRPr="007A05D6" w:rsidTr="002164DF">
        <w:trPr>
          <w:trHeight w:hRule="exact" w:val="567"/>
          <w:jc w:val="center"/>
        </w:trPr>
        <w:tc>
          <w:tcPr>
            <w:tcW w:w="62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指标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涨跌幅度</w:t>
            </w:r>
            <w:r w:rsidRPr="007A05D6">
              <w:rPr>
                <w:color w:val="000000"/>
                <w:szCs w:val="21"/>
              </w:rPr>
              <w:t>%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/>
              <w:rPr>
                <w:color w:val="000000"/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居民消费价格</w:t>
            </w:r>
          </w:p>
        </w:tc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1.8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240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食品烟酒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3.9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480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其中：粮食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-1.6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108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鲜</w:t>
            </w:r>
            <w:r w:rsidRPr="007A05D6">
              <w:rPr>
                <w:rFonts w:hint="eastAsia"/>
                <w:color w:val="000000"/>
                <w:szCs w:val="21"/>
              </w:rPr>
              <w:t>菜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-1.6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1080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畜肉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12.3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1080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水产品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-4.9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1080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蛋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-2.1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10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鲜果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9.4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240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衣着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0.5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240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居住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0.7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240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生活用品及服务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-0.3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240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交通和通信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-1.5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240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教育文化和娱乐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0.7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240"/>
              <w:rPr>
                <w:szCs w:val="21"/>
              </w:rPr>
            </w:pPr>
            <w:r w:rsidRPr="007A05D6">
              <w:rPr>
                <w:rFonts w:hint="eastAsia"/>
                <w:color w:val="000000"/>
                <w:szCs w:val="21"/>
              </w:rPr>
              <w:t>医疗保健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6.4</w:t>
            </w:r>
          </w:p>
        </w:tc>
      </w:tr>
      <w:tr w:rsidR="00E77289" w:rsidRPr="007A05D6" w:rsidTr="002164DF">
        <w:trPr>
          <w:trHeight w:hRule="exact" w:val="284"/>
          <w:jc w:val="center"/>
        </w:trPr>
        <w:tc>
          <w:tcPr>
            <w:tcW w:w="62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leftChars="50" w:left="105" w:firstLine="240"/>
              <w:rPr>
                <w:szCs w:val="21"/>
              </w:rPr>
            </w:pPr>
            <w:r w:rsidRPr="007A05D6">
              <w:rPr>
                <w:rFonts w:hint="eastAsia"/>
                <w:szCs w:val="21"/>
              </w:rPr>
              <w:t>其他用品和服务</w:t>
            </w:r>
          </w:p>
        </w:tc>
        <w:tc>
          <w:tcPr>
            <w:tcW w:w="3435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2164DF">
            <w:pPr>
              <w:adjustRightInd w:val="0"/>
              <w:snapToGrid w:val="0"/>
              <w:ind w:rightChars="750" w:right="157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3.8</w:t>
            </w:r>
          </w:p>
        </w:tc>
      </w:tr>
    </w:tbl>
    <w:p w:rsidR="005D4CB7" w:rsidRPr="007A05D6" w:rsidRDefault="005D4CB7" w:rsidP="00AF2873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eastAsia="方正黑体简体"/>
          <w:kern w:val="21"/>
          <w:sz w:val="24"/>
        </w:rPr>
      </w:pPr>
      <w:r w:rsidRPr="009F1E68">
        <w:rPr>
          <w:rFonts w:eastAsia="方正黑体简体" w:hint="eastAsia"/>
          <w:kern w:val="21"/>
          <w:sz w:val="24"/>
        </w:rPr>
        <w:t>七、财政和金融</w:t>
      </w:r>
    </w:p>
    <w:p w:rsidR="009F1E68" w:rsidRPr="007B4562" w:rsidRDefault="00DB7C3C" w:rsidP="009F1E68">
      <w:pPr>
        <w:adjustRightInd w:val="0"/>
        <w:snapToGrid w:val="0"/>
        <w:spacing w:line="400" w:lineRule="exact"/>
        <w:ind w:firstLineChars="200" w:firstLine="420"/>
        <w:rPr>
          <w:snapToGrid w:val="0"/>
          <w:kern w:val="0"/>
          <w:szCs w:val="21"/>
        </w:rPr>
      </w:pPr>
      <w:r w:rsidRPr="007B4562">
        <w:rPr>
          <w:rFonts w:hint="eastAsia"/>
          <w:snapToGrid w:val="0"/>
          <w:kern w:val="0"/>
          <w:szCs w:val="21"/>
        </w:rPr>
        <w:t>全年</w:t>
      </w:r>
      <w:r w:rsidR="009F1E68" w:rsidRPr="007B4562">
        <w:rPr>
          <w:rFonts w:hint="eastAsia"/>
          <w:snapToGrid w:val="0"/>
          <w:kern w:val="0"/>
          <w:szCs w:val="21"/>
        </w:rPr>
        <w:t>全口径财政收入</w:t>
      </w:r>
      <w:r w:rsidR="009F1E68" w:rsidRPr="007B4562">
        <w:rPr>
          <w:rFonts w:hint="eastAsia"/>
          <w:snapToGrid w:val="0"/>
          <w:kern w:val="0"/>
          <w:szCs w:val="21"/>
        </w:rPr>
        <w:t>301.3</w:t>
      </w:r>
      <w:r w:rsidR="009F1E68" w:rsidRPr="007B4562">
        <w:rPr>
          <w:rFonts w:hint="eastAsia"/>
          <w:snapToGrid w:val="0"/>
          <w:kern w:val="0"/>
          <w:szCs w:val="21"/>
        </w:rPr>
        <w:t>亿元，比上年增长</w:t>
      </w:r>
      <w:r w:rsidR="009F1E68" w:rsidRPr="007B4562">
        <w:rPr>
          <w:rFonts w:hint="eastAsia"/>
          <w:snapToGrid w:val="0"/>
          <w:kern w:val="0"/>
          <w:szCs w:val="21"/>
        </w:rPr>
        <w:t>10.2</w:t>
      </w:r>
      <w:r w:rsidR="009F1E68" w:rsidRPr="007B4562">
        <w:rPr>
          <w:snapToGrid w:val="0"/>
          <w:kern w:val="0"/>
          <w:szCs w:val="21"/>
        </w:rPr>
        <w:t>%</w:t>
      </w:r>
      <w:r w:rsidR="009F1E68" w:rsidRPr="007B4562">
        <w:rPr>
          <w:rFonts w:hint="eastAsia"/>
          <w:snapToGrid w:val="0"/>
          <w:kern w:val="0"/>
          <w:szCs w:val="21"/>
        </w:rPr>
        <w:t>。全年地方财政收入</w:t>
      </w:r>
      <w:r w:rsidR="009F1E68" w:rsidRPr="007B4562">
        <w:rPr>
          <w:rFonts w:hint="eastAsia"/>
          <w:snapToGrid w:val="0"/>
          <w:kern w:val="0"/>
          <w:szCs w:val="21"/>
        </w:rPr>
        <w:t>110.0</w:t>
      </w:r>
      <w:r w:rsidR="009F1E68" w:rsidRPr="007B4562">
        <w:rPr>
          <w:rFonts w:hint="eastAsia"/>
          <w:snapToGrid w:val="0"/>
          <w:kern w:val="0"/>
          <w:szCs w:val="21"/>
        </w:rPr>
        <w:t>亿元，比上年增长</w:t>
      </w:r>
      <w:r w:rsidR="009F1E68" w:rsidRPr="007B4562">
        <w:rPr>
          <w:rFonts w:hint="eastAsia"/>
          <w:snapToGrid w:val="0"/>
          <w:kern w:val="0"/>
          <w:szCs w:val="21"/>
        </w:rPr>
        <w:t>5.</w:t>
      </w:r>
      <w:r w:rsidR="007B4562">
        <w:rPr>
          <w:rFonts w:hint="eastAsia"/>
          <w:snapToGrid w:val="0"/>
          <w:kern w:val="0"/>
          <w:szCs w:val="21"/>
        </w:rPr>
        <w:t>3</w:t>
      </w:r>
      <w:r w:rsidR="009F1E68" w:rsidRPr="007B4562">
        <w:rPr>
          <w:snapToGrid w:val="0"/>
          <w:kern w:val="0"/>
          <w:szCs w:val="21"/>
        </w:rPr>
        <w:t>%</w:t>
      </w:r>
      <w:r w:rsidR="009F1E68" w:rsidRPr="007B4562">
        <w:rPr>
          <w:rFonts w:hint="eastAsia"/>
          <w:snapToGrid w:val="0"/>
          <w:kern w:val="0"/>
          <w:szCs w:val="21"/>
        </w:rPr>
        <w:t>。一般公共财政预算收入</w:t>
      </w:r>
      <w:r w:rsidR="009F1E68" w:rsidRPr="007B4562">
        <w:rPr>
          <w:rFonts w:hint="eastAsia"/>
          <w:snapToGrid w:val="0"/>
          <w:kern w:val="0"/>
          <w:szCs w:val="21"/>
        </w:rPr>
        <w:t>105.7</w:t>
      </w:r>
      <w:r w:rsidR="009F1E68" w:rsidRPr="007B4562">
        <w:rPr>
          <w:rFonts w:hint="eastAsia"/>
          <w:snapToGrid w:val="0"/>
          <w:kern w:val="0"/>
          <w:szCs w:val="21"/>
        </w:rPr>
        <w:t>亿元，增长</w:t>
      </w:r>
      <w:r w:rsidR="009F1E68" w:rsidRPr="007B4562">
        <w:rPr>
          <w:rFonts w:hint="eastAsia"/>
          <w:snapToGrid w:val="0"/>
          <w:kern w:val="0"/>
          <w:szCs w:val="21"/>
        </w:rPr>
        <w:t>5.2</w:t>
      </w:r>
      <w:r w:rsidR="009F1E68" w:rsidRPr="007B4562">
        <w:rPr>
          <w:snapToGrid w:val="0"/>
          <w:kern w:val="0"/>
          <w:szCs w:val="21"/>
        </w:rPr>
        <w:t>%</w:t>
      </w:r>
      <w:r w:rsidR="009F1E68" w:rsidRPr="007B4562">
        <w:rPr>
          <w:rFonts w:hint="eastAsia"/>
          <w:snapToGrid w:val="0"/>
          <w:kern w:val="0"/>
          <w:szCs w:val="21"/>
        </w:rPr>
        <w:t>。其中，税收收入</w:t>
      </w:r>
      <w:r w:rsidR="009F1E68" w:rsidRPr="007B4562">
        <w:rPr>
          <w:rFonts w:hint="eastAsia"/>
          <w:snapToGrid w:val="0"/>
          <w:kern w:val="0"/>
          <w:szCs w:val="21"/>
        </w:rPr>
        <w:t>67.9</w:t>
      </w:r>
      <w:r w:rsidR="009F1E68" w:rsidRPr="007B4562">
        <w:rPr>
          <w:rFonts w:hint="eastAsia"/>
          <w:snapToGrid w:val="0"/>
          <w:kern w:val="0"/>
          <w:szCs w:val="21"/>
        </w:rPr>
        <w:t>亿元，下降</w:t>
      </w:r>
      <w:r w:rsidR="009F1E68" w:rsidRPr="007B4562">
        <w:rPr>
          <w:rFonts w:hint="eastAsia"/>
          <w:snapToGrid w:val="0"/>
          <w:kern w:val="0"/>
          <w:szCs w:val="21"/>
        </w:rPr>
        <w:t>14.1</w:t>
      </w:r>
      <w:r w:rsidR="009F1E68" w:rsidRPr="007B4562">
        <w:rPr>
          <w:snapToGrid w:val="0"/>
          <w:kern w:val="0"/>
          <w:szCs w:val="21"/>
        </w:rPr>
        <w:t>%</w:t>
      </w:r>
      <w:r w:rsidR="009F1E68" w:rsidRPr="007B4562">
        <w:rPr>
          <w:rFonts w:hint="eastAsia"/>
          <w:snapToGrid w:val="0"/>
          <w:kern w:val="0"/>
          <w:szCs w:val="21"/>
        </w:rPr>
        <w:t>。在税收收入中，个人所得</w:t>
      </w:r>
      <w:proofErr w:type="gramStart"/>
      <w:r w:rsidR="009F1E68" w:rsidRPr="007B4562">
        <w:rPr>
          <w:rFonts w:hint="eastAsia"/>
          <w:snapToGrid w:val="0"/>
          <w:kern w:val="0"/>
          <w:szCs w:val="21"/>
        </w:rPr>
        <w:t>税下降</w:t>
      </w:r>
      <w:proofErr w:type="gramEnd"/>
      <w:r w:rsidR="009F1E68" w:rsidRPr="007B4562">
        <w:rPr>
          <w:rFonts w:hint="eastAsia"/>
          <w:snapToGrid w:val="0"/>
          <w:kern w:val="0"/>
          <w:szCs w:val="21"/>
        </w:rPr>
        <w:t>28.3%</w:t>
      </w:r>
      <w:r w:rsidR="009F1E68" w:rsidRPr="007B4562">
        <w:rPr>
          <w:rFonts w:hint="eastAsia"/>
          <w:snapToGrid w:val="0"/>
          <w:kern w:val="0"/>
          <w:szCs w:val="21"/>
        </w:rPr>
        <w:t>，增值税下降</w:t>
      </w:r>
      <w:r w:rsidR="009F1E68" w:rsidRPr="007B4562">
        <w:rPr>
          <w:rFonts w:hint="eastAsia"/>
          <w:snapToGrid w:val="0"/>
          <w:kern w:val="0"/>
          <w:szCs w:val="21"/>
        </w:rPr>
        <w:t>18.5%</w:t>
      </w:r>
      <w:r w:rsidR="009F1E68" w:rsidRPr="007B4562">
        <w:rPr>
          <w:rFonts w:hint="eastAsia"/>
          <w:snapToGrid w:val="0"/>
          <w:kern w:val="0"/>
          <w:szCs w:val="21"/>
        </w:rPr>
        <w:t>，企业所得税下降</w:t>
      </w:r>
      <w:r w:rsidR="009F1E68" w:rsidRPr="007B4562">
        <w:rPr>
          <w:rFonts w:hint="eastAsia"/>
          <w:snapToGrid w:val="0"/>
          <w:kern w:val="0"/>
          <w:szCs w:val="21"/>
        </w:rPr>
        <w:t>10.1%</w:t>
      </w:r>
      <w:r w:rsidR="009F1E68" w:rsidRPr="007B4562">
        <w:rPr>
          <w:rFonts w:hint="eastAsia"/>
          <w:snapToGrid w:val="0"/>
          <w:kern w:val="0"/>
          <w:szCs w:val="21"/>
        </w:rPr>
        <w:t>，资源</w:t>
      </w:r>
      <w:proofErr w:type="gramStart"/>
      <w:r w:rsidR="009F1E68" w:rsidRPr="007B4562">
        <w:rPr>
          <w:rFonts w:hint="eastAsia"/>
          <w:snapToGrid w:val="0"/>
          <w:kern w:val="0"/>
          <w:szCs w:val="21"/>
        </w:rPr>
        <w:t>税下降</w:t>
      </w:r>
      <w:proofErr w:type="gramEnd"/>
      <w:r w:rsidR="009F1E68" w:rsidRPr="007B4562">
        <w:rPr>
          <w:rFonts w:hint="eastAsia"/>
          <w:snapToGrid w:val="0"/>
          <w:kern w:val="0"/>
          <w:szCs w:val="21"/>
        </w:rPr>
        <w:t>4.7%</w:t>
      </w:r>
      <w:r w:rsidR="009F1E68" w:rsidRPr="007B4562">
        <w:rPr>
          <w:rFonts w:hint="eastAsia"/>
          <w:snapToGrid w:val="0"/>
          <w:kern w:val="0"/>
          <w:szCs w:val="21"/>
        </w:rPr>
        <w:t>。</w:t>
      </w:r>
    </w:p>
    <w:p w:rsidR="009F1E68" w:rsidRPr="007B4562" w:rsidRDefault="009F1E68" w:rsidP="009F1E68">
      <w:pPr>
        <w:adjustRightInd w:val="0"/>
        <w:snapToGrid w:val="0"/>
        <w:spacing w:line="400" w:lineRule="exact"/>
        <w:ind w:firstLineChars="200" w:firstLine="420"/>
        <w:rPr>
          <w:snapToGrid w:val="0"/>
          <w:kern w:val="0"/>
          <w:szCs w:val="21"/>
        </w:rPr>
      </w:pPr>
      <w:r w:rsidRPr="007B4562">
        <w:rPr>
          <w:rFonts w:hint="eastAsia"/>
          <w:snapToGrid w:val="0"/>
          <w:kern w:val="0"/>
          <w:szCs w:val="21"/>
        </w:rPr>
        <w:t>全年地方财政支出</w:t>
      </w:r>
      <w:r w:rsidRPr="007B4562">
        <w:rPr>
          <w:rFonts w:hint="eastAsia"/>
          <w:snapToGrid w:val="0"/>
          <w:kern w:val="0"/>
          <w:szCs w:val="21"/>
        </w:rPr>
        <w:t>140.3</w:t>
      </w:r>
      <w:r w:rsidRPr="007B4562">
        <w:rPr>
          <w:rFonts w:hint="eastAsia"/>
          <w:snapToGrid w:val="0"/>
          <w:kern w:val="0"/>
          <w:szCs w:val="21"/>
        </w:rPr>
        <w:t>亿元，比上年下降</w:t>
      </w:r>
      <w:r w:rsidRPr="007B4562">
        <w:rPr>
          <w:rFonts w:hint="eastAsia"/>
          <w:snapToGrid w:val="0"/>
          <w:kern w:val="0"/>
          <w:szCs w:val="21"/>
        </w:rPr>
        <w:t>1.2</w:t>
      </w:r>
      <w:r w:rsidRPr="007B4562">
        <w:rPr>
          <w:snapToGrid w:val="0"/>
          <w:kern w:val="0"/>
          <w:szCs w:val="21"/>
        </w:rPr>
        <w:t>%</w:t>
      </w:r>
      <w:r w:rsidRPr="007B4562">
        <w:rPr>
          <w:rFonts w:hint="eastAsia"/>
          <w:snapToGrid w:val="0"/>
          <w:kern w:val="0"/>
          <w:szCs w:val="21"/>
        </w:rPr>
        <w:t>。其中，一般公共财政预算支出</w:t>
      </w:r>
      <w:r w:rsidRPr="007B4562">
        <w:rPr>
          <w:rFonts w:hint="eastAsia"/>
          <w:snapToGrid w:val="0"/>
          <w:kern w:val="0"/>
          <w:szCs w:val="21"/>
        </w:rPr>
        <w:t>120.1</w:t>
      </w:r>
      <w:r w:rsidRPr="007B4562">
        <w:rPr>
          <w:rFonts w:hint="eastAsia"/>
          <w:snapToGrid w:val="0"/>
          <w:kern w:val="0"/>
          <w:szCs w:val="21"/>
        </w:rPr>
        <w:t>亿元，下降</w:t>
      </w:r>
      <w:r w:rsidRPr="007B4562">
        <w:rPr>
          <w:rFonts w:hint="eastAsia"/>
          <w:snapToGrid w:val="0"/>
          <w:kern w:val="0"/>
          <w:szCs w:val="21"/>
        </w:rPr>
        <w:t>9.0</w:t>
      </w:r>
      <w:r w:rsidRPr="007B4562">
        <w:rPr>
          <w:snapToGrid w:val="0"/>
          <w:kern w:val="0"/>
          <w:szCs w:val="21"/>
        </w:rPr>
        <w:t>%</w:t>
      </w:r>
      <w:r w:rsidRPr="007B4562">
        <w:rPr>
          <w:rFonts w:hint="eastAsia"/>
          <w:snapToGrid w:val="0"/>
          <w:kern w:val="0"/>
          <w:szCs w:val="21"/>
        </w:rPr>
        <w:t>。</w:t>
      </w:r>
      <w:r w:rsidRPr="007B4562">
        <w:rPr>
          <w:rFonts w:hint="eastAsia"/>
          <w:bCs/>
          <w:snapToGrid w:val="0"/>
          <w:szCs w:val="21"/>
        </w:rPr>
        <w:t>其中，卫生健康、教育、交通运输、文化体育与传媒和住房保障分别增长</w:t>
      </w:r>
      <w:r w:rsidRPr="007B4562">
        <w:rPr>
          <w:rFonts w:hint="eastAsia"/>
          <w:bCs/>
          <w:snapToGrid w:val="0"/>
          <w:szCs w:val="21"/>
        </w:rPr>
        <w:t>3.0</w:t>
      </w:r>
      <w:r w:rsidRPr="007B4562">
        <w:rPr>
          <w:bCs/>
          <w:snapToGrid w:val="0"/>
          <w:szCs w:val="21"/>
        </w:rPr>
        <w:t>%</w:t>
      </w:r>
      <w:r w:rsidRPr="007B4562">
        <w:rPr>
          <w:rFonts w:hint="eastAsia"/>
          <w:bCs/>
          <w:snapToGrid w:val="0"/>
          <w:szCs w:val="21"/>
        </w:rPr>
        <w:t>、</w:t>
      </w:r>
      <w:r w:rsidRPr="007B4562">
        <w:rPr>
          <w:rFonts w:hint="eastAsia"/>
          <w:bCs/>
          <w:snapToGrid w:val="0"/>
          <w:szCs w:val="21"/>
        </w:rPr>
        <w:t>6.2%</w:t>
      </w:r>
      <w:r w:rsidRPr="007B4562">
        <w:rPr>
          <w:rFonts w:hint="eastAsia"/>
          <w:bCs/>
          <w:snapToGrid w:val="0"/>
          <w:szCs w:val="21"/>
        </w:rPr>
        <w:t>、</w:t>
      </w:r>
      <w:r w:rsidRPr="007B4562">
        <w:rPr>
          <w:rFonts w:hint="eastAsia"/>
          <w:bCs/>
          <w:snapToGrid w:val="0"/>
          <w:szCs w:val="21"/>
        </w:rPr>
        <w:t>21.6%</w:t>
      </w:r>
      <w:r w:rsidRPr="007B4562">
        <w:rPr>
          <w:rFonts w:hint="eastAsia"/>
          <w:bCs/>
          <w:snapToGrid w:val="0"/>
          <w:szCs w:val="21"/>
        </w:rPr>
        <w:t>、</w:t>
      </w:r>
      <w:r w:rsidRPr="007B4562">
        <w:rPr>
          <w:rFonts w:hint="eastAsia"/>
          <w:bCs/>
          <w:snapToGrid w:val="0"/>
          <w:szCs w:val="21"/>
        </w:rPr>
        <w:t>38.7</w:t>
      </w:r>
      <w:r w:rsidRPr="007B4562">
        <w:rPr>
          <w:bCs/>
          <w:snapToGrid w:val="0"/>
          <w:szCs w:val="21"/>
        </w:rPr>
        <w:t>%</w:t>
      </w:r>
      <w:r w:rsidRPr="007B4562">
        <w:rPr>
          <w:rFonts w:hint="eastAsia"/>
          <w:bCs/>
          <w:snapToGrid w:val="0"/>
          <w:szCs w:val="21"/>
        </w:rPr>
        <w:t>和</w:t>
      </w:r>
      <w:r w:rsidRPr="007B4562">
        <w:rPr>
          <w:rFonts w:hint="eastAsia"/>
          <w:bCs/>
          <w:snapToGrid w:val="0"/>
          <w:szCs w:val="21"/>
        </w:rPr>
        <w:t>116.2</w:t>
      </w:r>
      <w:r w:rsidRPr="007B4562">
        <w:rPr>
          <w:bCs/>
          <w:snapToGrid w:val="0"/>
          <w:szCs w:val="21"/>
        </w:rPr>
        <w:t>%</w:t>
      </w:r>
      <w:r w:rsidRPr="007B4562">
        <w:rPr>
          <w:rFonts w:hint="eastAsia"/>
          <w:bCs/>
          <w:snapToGrid w:val="0"/>
          <w:szCs w:val="21"/>
        </w:rPr>
        <w:t>，社会保障和就业下降</w:t>
      </w:r>
      <w:r w:rsidRPr="007B4562">
        <w:rPr>
          <w:rFonts w:hint="eastAsia"/>
          <w:bCs/>
          <w:snapToGrid w:val="0"/>
          <w:szCs w:val="21"/>
        </w:rPr>
        <w:t>8.0</w:t>
      </w:r>
      <w:r w:rsidRPr="007B4562">
        <w:rPr>
          <w:bCs/>
          <w:snapToGrid w:val="0"/>
          <w:szCs w:val="21"/>
        </w:rPr>
        <w:t>%</w:t>
      </w:r>
      <w:r w:rsidRPr="007B4562">
        <w:rPr>
          <w:rFonts w:hint="eastAsia"/>
          <w:bCs/>
          <w:snapToGrid w:val="0"/>
          <w:szCs w:val="21"/>
        </w:rPr>
        <w:t>。</w:t>
      </w:r>
    </w:p>
    <w:p w:rsidR="009F1E68" w:rsidRPr="007B4562" w:rsidRDefault="009F1E68" w:rsidP="009F1E68">
      <w:pPr>
        <w:adjustRightInd w:val="0"/>
        <w:snapToGrid w:val="0"/>
        <w:spacing w:line="460" w:lineRule="exact"/>
        <w:ind w:firstLineChars="200" w:firstLine="480"/>
        <w:jc w:val="center"/>
        <w:rPr>
          <w:bCs/>
          <w:snapToGrid w:val="0"/>
          <w:szCs w:val="21"/>
        </w:rPr>
      </w:pPr>
      <w:r w:rsidRPr="007B4562">
        <w:rPr>
          <w:rFonts w:eastAsia="方正宋黑简体"/>
          <w:color w:val="FF0000"/>
          <w:kern w:val="21"/>
          <w:sz w:val="24"/>
        </w:rPr>
        <w:t xml:space="preserve">                    </w:t>
      </w:r>
      <w:r w:rsidRPr="007B4562">
        <w:rPr>
          <w:rFonts w:eastAsia="方正宋黑简体"/>
          <w:kern w:val="21"/>
          <w:sz w:val="24"/>
        </w:rPr>
        <w:t xml:space="preserve"> 20</w:t>
      </w:r>
      <w:r w:rsidRPr="007B4562">
        <w:rPr>
          <w:rFonts w:eastAsia="方正宋黑简体" w:hint="eastAsia"/>
          <w:kern w:val="21"/>
          <w:sz w:val="24"/>
        </w:rPr>
        <w:t>19</w:t>
      </w:r>
      <w:r w:rsidRPr="007B4562">
        <w:rPr>
          <w:rFonts w:eastAsia="方正宋黑简体" w:hint="eastAsia"/>
          <w:kern w:val="21"/>
          <w:sz w:val="24"/>
        </w:rPr>
        <w:t>年财政收入分项情况</w:t>
      </w:r>
      <w:r w:rsidRPr="007B4562">
        <w:rPr>
          <w:rFonts w:eastAsia="方正宋黑简体"/>
          <w:kern w:val="21"/>
          <w:sz w:val="24"/>
        </w:rPr>
        <w:t xml:space="preserve">                 </w:t>
      </w:r>
      <w:r w:rsidRPr="007B4562">
        <w:rPr>
          <w:rFonts w:hint="eastAsia"/>
          <w:kern w:val="21"/>
          <w:szCs w:val="21"/>
        </w:rPr>
        <w:t>单位：</w:t>
      </w:r>
      <w:r w:rsidRPr="007B4562">
        <w:rPr>
          <w:rFonts w:hint="eastAsia"/>
          <w:szCs w:val="21"/>
        </w:rPr>
        <w:t>亿元</w:t>
      </w:r>
    </w:p>
    <w:tbl>
      <w:tblPr>
        <w:tblW w:w="9710" w:type="dxa"/>
        <w:jc w:val="center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2445"/>
        <w:gridCol w:w="2446"/>
      </w:tblGrid>
      <w:tr w:rsidR="009F1E68" w:rsidRPr="007B4562" w:rsidTr="00704464">
        <w:trPr>
          <w:trHeight w:hRule="exact" w:val="567"/>
          <w:jc w:val="center"/>
        </w:trPr>
        <w:tc>
          <w:tcPr>
            <w:tcW w:w="481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主要指标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绝对数（亿元）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比上年增长</w:t>
            </w:r>
            <w:r w:rsidRPr="007B4562">
              <w:rPr>
                <w:szCs w:val="21"/>
              </w:rPr>
              <w:t>%</w:t>
            </w:r>
          </w:p>
        </w:tc>
      </w:tr>
      <w:tr w:rsidR="009F1E68" w:rsidRPr="007B4562" w:rsidTr="00704464">
        <w:trPr>
          <w:trHeight w:hRule="exact" w:val="340"/>
          <w:jc w:val="center"/>
        </w:trPr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leftChars="50" w:left="105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公共财政预算收入</w:t>
            </w:r>
            <w:r w:rsidRPr="007B4562">
              <w:rPr>
                <w:szCs w:val="21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105.7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5.2</w:t>
            </w:r>
          </w:p>
        </w:tc>
      </w:tr>
      <w:tr w:rsidR="009F1E68" w:rsidRPr="007B4562" w:rsidTr="00704464">
        <w:trPr>
          <w:trHeight w:hRule="exact" w:val="340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leftChars="50" w:left="105" w:firstLineChars="150" w:firstLine="315"/>
              <w:rPr>
                <w:szCs w:val="21"/>
              </w:rPr>
            </w:pPr>
            <w:r w:rsidRPr="007B4562">
              <w:rPr>
                <w:szCs w:val="21"/>
              </w:rPr>
              <w:t>#</w:t>
            </w:r>
            <w:r w:rsidRPr="007B4562">
              <w:rPr>
                <w:rFonts w:hint="eastAsia"/>
                <w:szCs w:val="21"/>
              </w:rPr>
              <w:t>增值税</w:t>
            </w:r>
            <w:r w:rsidRPr="007B4562">
              <w:rPr>
                <w:szCs w:val="21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</w:pPr>
            <w:r w:rsidRPr="007B4562">
              <w:rPr>
                <w:rFonts w:hint="eastAsia"/>
              </w:rPr>
              <w:t>35.8</w:t>
            </w:r>
          </w:p>
        </w:tc>
        <w:tc>
          <w:tcPr>
            <w:tcW w:w="244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-18.5</w:t>
            </w:r>
          </w:p>
        </w:tc>
      </w:tr>
      <w:tr w:rsidR="009F1E68" w:rsidRPr="007B4562" w:rsidTr="00704464">
        <w:trPr>
          <w:trHeight w:hRule="exact" w:val="340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widowControl/>
              <w:adjustRightInd w:val="0"/>
              <w:snapToGrid w:val="0"/>
              <w:ind w:firstLineChars="250" w:firstLine="525"/>
              <w:jc w:val="left"/>
              <w:rPr>
                <w:kern w:val="0"/>
                <w:sz w:val="18"/>
                <w:szCs w:val="18"/>
              </w:rPr>
            </w:pPr>
            <w:r w:rsidRPr="007B4562">
              <w:rPr>
                <w:rFonts w:hint="eastAsia"/>
                <w:kern w:val="0"/>
                <w:szCs w:val="21"/>
              </w:rPr>
              <w:t>企业所得税</w:t>
            </w:r>
            <w:r w:rsidRPr="007B4562">
              <w:rPr>
                <w:kern w:val="0"/>
                <w:szCs w:val="21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</w:pPr>
            <w:r w:rsidRPr="007B4562">
              <w:rPr>
                <w:rFonts w:hint="eastAsia"/>
              </w:rPr>
              <w:t>4.6</w:t>
            </w:r>
          </w:p>
        </w:tc>
        <w:tc>
          <w:tcPr>
            <w:tcW w:w="244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-10.1</w:t>
            </w:r>
          </w:p>
        </w:tc>
      </w:tr>
      <w:tr w:rsidR="009F1E68" w:rsidRPr="007B4562" w:rsidTr="00704464">
        <w:trPr>
          <w:trHeight w:hRule="exact" w:val="340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widowControl/>
              <w:adjustRightInd w:val="0"/>
              <w:snapToGrid w:val="0"/>
              <w:ind w:firstLineChars="250" w:firstLine="525"/>
              <w:jc w:val="left"/>
              <w:rPr>
                <w:kern w:val="0"/>
                <w:sz w:val="18"/>
                <w:szCs w:val="18"/>
              </w:rPr>
            </w:pPr>
            <w:r w:rsidRPr="007B4562">
              <w:rPr>
                <w:rFonts w:hint="eastAsia"/>
                <w:kern w:val="0"/>
                <w:szCs w:val="21"/>
              </w:rPr>
              <w:t>个人所得税</w:t>
            </w:r>
            <w:r w:rsidRPr="007B4562">
              <w:rPr>
                <w:kern w:val="0"/>
                <w:szCs w:val="21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</w:pPr>
            <w:r w:rsidRPr="007B4562">
              <w:rPr>
                <w:rFonts w:hint="eastAsia"/>
              </w:rPr>
              <w:t>3.0</w:t>
            </w:r>
          </w:p>
        </w:tc>
        <w:tc>
          <w:tcPr>
            <w:tcW w:w="244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CF4180">
            <w:pPr>
              <w:adjustRightInd w:val="0"/>
              <w:snapToGrid w:val="0"/>
              <w:ind w:rightChars="400" w:right="840"/>
              <w:jc w:val="right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-28.</w:t>
            </w:r>
            <w:r w:rsidR="00CF4180">
              <w:rPr>
                <w:rFonts w:hint="eastAsia"/>
                <w:szCs w:val="21"/>
              </w:rPr>
              <w:t>3</w:t>
            </w:r>
          </w:p>
        </w:tc>
      </w:tr>
      <w:tr w:rsidR="009F1E68" w:rsidRPr="007B4562" w:rsidTr="00704464">
        <w:trPr>
          <w:trHeight w:hRule="exact" w:val="340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widowControl/>
              <w:adjustRightInd w:val="0"/>
              <w:snapToGrid w:val="0"/>
              <w:ind w:firstLineChars="250" w:firstLine="525"/>
              <w:jc w:val="left"/>
              <w:rPr>
                <w:kern w:val="0"/>
                <w:szCs w:val="21"/>
              </w:rPr>
            </w:pPr>
            <w:r w:rsidRPr="007B4562">
              <w:rPr>
                <w:rFonts w:hint="eastAsia"/>
                <w:kern w:val="0"/>
                <w:szCs w:val="21"/>
              </w:rPr>
              <w:t>资源税</w:t>
            </w: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3.5</w:t>
            </w:r>
          </w:p>
        </w:tc>
        <w:tc>
          <w:tcPr>
            <w:tcW w:w="244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-4.7</w:t>
            </w:r>
          </w:p>
        </w:tc>
      </w:tr>
      <w:tr w:rsidR="009F1E68" w:rsidRPr="007B4562" w:rsidTr="00704464">
        <w:trPr>
          <w:trHeight w:hRule="exact" w:val="340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widowControl/>
              <w:adjustRightInd w:val="0"/>
              <w:snapToGrid w:val="0"/>
              <w:ind w:firstLineChars="250" w:firstLine="525"/>
              <w:jc w:val="left"/>
              <w:rPr>
                <w:kern w:val="0"/>
                <w:sz w:val="18"/>
                <w:szCs w:val="18"/>
              </w:rPr>
            </w:pPr>
            <w:r w:rsidRPr="007B4562">
              <w:rPr>
                <w:rFonts w:hint="eastAsia"/>
                <w:kern w:val="0"/>
                <w:szCs w:val="21"/>
              </w:rPr>
              <w:t>城市维护建设税</w:t>
            </w:r>
            <w:r w:rsidRPr="007B4562">
              <w:rPr>
                <w:kern w:val="0"/>
                <w:szCs w:val="21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7.5</w:t>
            </w:r>
          </w:p>
        </w:tc>
        <w:tc>
          <w:tcPr>
            <w:tcW w:w="244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-24.4</w:t>
            </w:r>
          </w:p>
        </w:tc>
      </w:tr>
      <w:tr w:rsidR="009F1E68" w:rsidRPr="007B4562" w:rsidTr="00704464">
        <w:trPr>
          <w:trHeight w:hRule="exact" w:val="340"/>
          <w:jc w:val="center"/>
        </w:trPr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widowControl/>
              <w:adjustRightInd w:val="0"/>
              <w:snapToGrid w:val="0"/>
              <w:ind w:firstLineChars="250" w:firstLine="525"/>
              <w:jc w:val="left"/>
              <w:rPr>
                <w:kern w:val="0"/>
                <w:sz w:val="18"/>
                <w:szCs w:val="18"/>
              </w:rPr>
            </w:pPr>
            <w:r w:rsidRPr="007B4562">
              <w:rPr>
                <w:kern w:val="0"/>
                <w:szCs w:val="21"/>
              </w:rPr>
              <w:t>城镇土地使用税</w:t>
            </w:r>
          </w:p>
        </w:tc>
        <w:tc>
          <w:tcPr>
            <w:tcW w:w="24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5.1</w:t>
            </w:r>
          </w:p>
        </w:tc>
        <w:tc>
          <w:tcPr>
            <w:tcW w:w="244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1E68" w:rsidRPr="007B4562" w:rsidRDefault="009F1E68" w:rsidP="00704464">
            <w:pPr>
              <w:adjustRightInd w:val="0"/>
              <w:snapToGrid w:val="0"/>
              <w:ind w:rightChars="400" w:right="840"/>
              <w:jc w:val="right"/>
              <w:rPr>
                <w:szCs w:val="21"/>
              </w:rPr>
            </w:pPr>
            <w:r w:rsidRPr="007B4562">
              <w:rPr>
                <w:rFonts w:hint="eastAsia"/>
                <w:szCs w:val="21"/>
              </w:rPr>
              <w:t>-0.4</w:t>
            </w:r>
          </w:p>
        </w:tc>
      </w:tr>
    </w:tbl>
    <w:p w:rsidR="009F1E68" w:rsidRPr="007B4562" w:rsidRDefault="009F1E68" w:rsidP="009F1E68">
      <w:pPr>
        <w:adjustRightInd w:val="0"/>
        <w:snapToGrid w:val="0"/>
        <w:spacing w:line="400" w:lineRule="exact"/>
        <w:ind w:firstLineChars="200" w:firstLine="420"/>
        <w:rPr>
          <w:bCs/>
          <w:snapToGrid w:val="0"/>
          <w:szCs w:val="21"/>
        </w:rPr>
      </w:pPr>
      <w:r w:rsidRPr="007B4562">
        <w:rPr>
          <w:rFonts w:hint="eastAsia"/>
          <w:bCs/>
          <w:snapToGrid w:val="0"/>
          <w:szCs w:val="21"/>
        </w:rPr>
        <w:t>年末辖区内银行业机构</w:t>
      </w:r>
      <w:r w:rsidRPr="007B4562">
        <w:rPr>
          <w:rFonts w:hint="eastAsia"/>
          <w:bCs/>
          <w:snapToGrid w:val="0"/>
          <w:szCs w:val="21"/>
        </w:rPr>
        <w:t>8</w:t>
      </w:r>
      <w:r w:rsidRPr="007B4562">
        <w:rPr>
          <w:rFonts w:hint="eastAsia"/>
          <w:bCs/>
          <w:snapToGrid w:val="0"/>
          <w:szCs w:val="21"/>
        </w:rPr>
        <w:t>家，</w:t>
      </w:r>
      <w:r w:rsidRPr="007B4562">
        <w:rPr>
          <w:bCs/>
          <w:snapToGrid w:val="0"/>
          <w:szCs w:val="21"/>
        </w:rPr>
        <w:t>金融机构各项人民币存款余额</w:t>
      </w:r>
      <w:r w:rsidRPr="007B4562">
        <w:rPr>
          <w:rFonts w:hint="eastAsia"/>
          <w:bCs/>
          <w:snapToGrid w:val="0"/>
          <w:szCs w:val="21"/>
        </w:rPr>
        <w:t>1687.9</w:t>
      </w:r>
      <w:r w:rsidRPr="007B4562">
        <w:rPr>
          <w:bCs/>
          <w:snapToGrid w:val="0"/>
          <w:szCs w:val="21"/>
        </w:rPr>
        <w:t>亿元，比年初减少</w:t>
      </w:r>
      <w:r w:rsidRPr="007B4562">
        <w:rPr>
          <w:rFonts w:hint="eastAsia"/>
          <w:bCs/>
          <w:snapToGrid w:val="0"/>
          <w:szCs w:val="21"/>
        </w:rPr>
        <w:t>65.7</w:t>
      </w:r>
      <w:r w:rsidRPr="007B4562">
        <w:rPr>
          <w:bCs/>
          <w:snapToGrid w:val="0"/>
          <w:szCs w:val="21"/>
        </w:rPr>
        <w:t>亿元，下降</w:t>
      </w:r>
      <w:r w:rsidRPr="007B4562">
        <w:rPr>
          <w:rFonts w:hint="eastAsia"/>
          <w:bCs/>
          <w:snapToGrid w:val="0"/>
          <w:szCs w:val="21"/>
        </w:rPr>
        <w:t>3.7%</w:t>
      </w:r>
      <w:r w:rsidRPr="007B4562">
        <w:rPr>
          <w:bCs/>
          <w:snapToGrid w:val="0"/>
          <w:szCs w:val="21"/>
        </w:rPr>
        <w:t>。境内存款余额</w:t>
      </w:r>
      <w:r w:rsidRPr="007B4562">
        <w:rPr>
          <w:rFonts w:hint="eastAsia"/>
          <w:bCs/>
          <w:snapToGrid w:val="0"/>
          <w:szCs w:val="21"/>
        </w:rPr>
        <w:t>1413.3</w:t>
      </w:r>
      <w:r w:rsidRPr="007B4562">
        <w:rPr>
          <w:bCs/>
          <w:snapToGrid w:val="0"/>
          <w:szCs w:val="21"/>
        </w:rPr>
        <w:t>亿元，</w:t>
      </w:r>
      <w:r w:rsidRPr="007B4562">
        <w:rPr>
          <w:rFonts w:hint="eastAsia"/>
          <w:bCs/>
          <w:snapToGrid w:val="0"/>
          <w:szCs w:val="21"/>
        </w:rPr>
        <w:t>增长</w:t>
      </w:r>
      <w:r w:rsidRPr="007B4562">
        <w:rPr>
          <w:rFonts w:hint="eastAsia"/>
          <w:bCs/>
          <w:snapToGrid w:val="0"/>
          <w:szCs w:val="21"/>
        </w:rPr>
        <w:t>1.8</w:t>
      </w:r>
      <w:r w:rsidRPr="007B4562">
        <w:rPr>
          <w:bCs/>
          <w:snapToGrid w:val="0"/>
          <w:szCs w:val="21"/>
        </w:rPr>
        <w:t>%</w:t>
      </w:r>
      <w:r w:rsidRPr="007B4562">
        <w:rPr>
          <w:bCs/>
          <w:snapToGrid w:val="0"/>
          <w:szCs w:val="21"/>
        </w:rPr>
        <w:t>；境外存款余额</w:t>
      </w:r>
      <w:r w:rsidRPr="007B4562">
        <w:rPr>
          <w:rFonts w:hint="eastAsia"/>
          <w:bCs/>
          <w:snapToGrid w:val="0"/>
          <w:szCs w:val="21"/>
        </w:rPr>
        <w:t>274.6</w:t>
      </w:r>
      <w:r w:rsidRPr="007B4562">
        <w:rPr>
          <w:bCs/>
          <w:snapToGrid w:val="0"/>
          <w:szCs w:val="21"/>
        </w:rPr>
        <w:t>亿元，下降</w:t>
      </w:r>
      <w:r w:rsidRPr="007B4562">
        <w:rPr>
          <w:rFonts w:hint="eastAsia"/>
          <w:bCs/>
          <w:snapToGrid w:val="0"/>
          <w:szCs w:val="21"/>
        </w:rPr>
        <w:t>24.8</w:t>
      </w:r>
      <w:r w:rsidRPr="007B4562">
        <w:rPr>
          <w:bCs/>
          <w:snapToGrid w:val="0"/>
          <w:szCs w:val="21"/>
        </w:rPr>
        <w:t>%</w:t>
      </w:r>
      <w:r w:rsidRPr="007B4562">
        <w:rPr>
          <w:bCs/>
          <w:snapToGrid w:val="0"/>
          <w:szCs w:val="21"/>
        </w:rPr>
        <w:t>。在境内存款中，住户存款余额</w:t>
      </w:r>
      <w:r w:rsidRPr="007B4562">
        <w:rPr>
          <w:rFonts w:hint="eastAsia"/>
          <w:bCs/>
          <w:snapToGrid w:val="0"/>
          <w:szCs w:val="21"/>
        </w:rPr>
        <w:t>395.2</w:t>
      </w:r>
      <w:r w:rsidRPr="007B4562">
        <w:rPr>
          <w:bCs/>
          <w:snapToGrid w:val="0"/>
          <w:szCs w:val="21"/>
        </w:rPr>
        <w:t>亿元，</w:t>
      </w:r>
      <w:r w:rsidRPr="007B4562">
        <w:rPr>
          <w:rFonts w:hint="eastAsia"/>
          <w:bCs/>
          <w:snapToGrid w:val="0"/>
          <w:szCs w:val="21"/>
        </w:rPr>
        <w:t>增长</w:t>
      </w:r>
      <w:r w:rsidRPr="007B4562">
        <w:rPr>
          <w:rFonts w:hint="eastAsia"/>
          <w:bCs/>
          <w:snapToGrid w:val="0"/>
          <w:szCs w:val="21"/>
        </w:rPr>
        <w:t>16.2</w:t>
      </w:r>
      <w:r w:rsidRPr="007B4562">
        <w:rPr>
          <w:bCs/>
          <w:snapToGrid w:val="0"/>
          <w:szCs w:val="21"/>
        </w:rPr>
        <w:t>%</w:t>
      </w:r>
      <w:r w:rsidRPr="007B4562">
        <w:rPr>
          <w:bCs/>
          <w:snapToGrid w:val="0"/>
          <w:szCs w:val="21"/>
        </w:rPr>
        <w:t>；非金融企业存款余额</w:t>
      </w:r>
      <w:r w:rsidRPr="007B4562">
        <w:rPr>
          <w:rFonts w:hint="eastAsia"/>
          <w:bCs/>
          <w:snapToGrid w:val="0"/>
          <w:szCs w:val="21"/>
        </w:rPr>
        <w:t>537.9</w:t>
      </w:r>
      <w:r w:rsidRPr="007B4562">
        <w:rPr>
          <w:bCs/>
          <w:snapToGrid w:val="0"/>
          <w:szCs w:val="21"/>
        </w:rPr>
        <w:t>亿元，增长</w:t>
      </w:r>
      <w:r w:rsidRPr="007B4562">
        <w:rPr>
          <w:rFonts w:hint="eastAsia"/>
          <w:bCs/>
          <w:snapToGrid w:val="0"/>
          <w:szCs w:val="21"/>
        </w:rPr>
        <w:t>9.5</w:t>
      </w:r>
      <w:r w:rsidRPr="007B4562">
        <w:rPr>
          <w:bCs/>
          <w:snapToGrid w:val="0"/>
          <w:szCs w:val="21"/>
        </w:rPr>
        <w:t>%</w:t>
      </w:r>
      <w:r w:rsidRPr="007B4562">
        <w:rPr>
          <w:bCs/>
          <w:snapToGrid w:val="0"/>
          <w:szCs w:val="21"/>
        </w:rPr>
        <w:t>。</w:t>
      </w:r>
    </w:p>
    <w:p w:rsidR="009F1E68" w:rsidRPr="007B4562" w:rsidRDefault="009F1E68" w:rsidP="009F1E68">
      <w:pPr>
        <w:adjustRightInd w:val="0"/>
        <w:snapToGrid w:val="0"/>
        <w:spacing w:line="400" w:lineRule="exact"/>
        <w:ind w:firstLineChars="200" w:firstLine="420"/>
        <w:rPr>
          <w:bCs/>
          <w:snapToGrid w:val="0"/>
          <w:szCs w:val="21"/>
        </w:rPr>
      </w:pPr>
      <w:r w:rsidRPr="007B4562">
        <w:rPr>
          <w:rFonts w:hint="eastAsia"/>
          <w:bCs/>
          <w:snapToGrid w:val="0"/>
          <w:szCs w:val="21"/>
        </w:rPr>
        <w:t>年末</w:t>
      </w:r>
      <w:r w:rsidRPr="007B4562">
        <w:rPr>
          <w:bCs/>
          <w:snapToGrid w:val="0"/>
          <w:szCs w:val="21"/>
        </w:rPr>
        <w:t>金融机构各项人民币贷款余额</w:t>
      </w:r>
      <w:r w:rsidRPr="007B4562">
        <w:rPr>
          <w:rFonts w:hint="eastAsia"/>
          <w:bCs/>
          <w:snapToGrid w:val="0"/>
          <w:szCs w:val="21"/>
        </w:rPr>
        <w:t>754.5</w:t>
      </w:r>
      <w:r w:rsidRPr="007B4562">
        <w:rPr>
          <w:bCs/>
          <w:snapToGrid w:val="0"/>
          <w:szCs w:val="21"/>
        </w:rPr>
        <w:t>亿元，比年初</w:t>
      </w:r>
      <w:r w:rsidRPr="007B4562">
        <w:rPr>
          <w:rFonts w:hint="eastAsia"/>
          <w:bCs/>
          <w:snapToGrid w:val="0"/>
          <w:szCs w:val="21"/>
        </w:rPr>
        <w:t>增加</w:t>
      </w:r>
      <w:r w:rsidRPr="007B4562">
        <w:rPr>
          <w:rFonts w:hint="eastAsia"/>
          <w:bCs/>
          <w:snapToGrid w:val="0"/>
          <w:szCs w:val="21"/>
        </w:rPr>
        <w:t>136.3</w:t>
      </w:r>
      <w:r w:rsidRPr="007B4562">
        <w:rPr>
          <w:bCs/>
          <w:snapToGrid w:val="0"/>
          <w:szCs w:val="21"/>
        </w:rPr>
        <w:t>亿元，</w:t>
      </w:r>
      <w:r w:rsidRPr="007B4562">
        <w:rPr>
          <w:rFonts w:hint="eastAsia"/>
          <w:bCs/>
          <w:snapToGrid w:val="0"/>
          <w:szCs w:val="21"/>
        </w:rPr>
        <w:t>增长</w:t>
      </w:r>
      <w:r w:rsidRPr="007B4562">
        <w:rPr>
          <w:rFonts w:hint="eastAsia"/>
          <w:bCs/>
          <w:snapToGrid w:val="0"/>
          <w:szCs w:val="21"/>
        </w:rPr>
        <w:t>23.0</w:t>
      </w:r>
      <w:r w:rsidRPr="007B4562">
        <w:rPr>
          <w:bCs/>
          <w:snapToGrid w:val="0"/>
          <w:szCs w:val="21"/>
        </w:rPr>
        <w:t>%</w:t>
      </w:r>
      <w:r w:rsidRPr="007B4562">
        <w:rPr>
          <w:bCs/>
          <w:snapToGrid w:val="0"/>
          <w:szCs w:val="21"/>
        </w:rPr>
        <w:t>。其中，住户贷款</w:t>
      </w:r>
      <w:r w:rsidRPr="007B4562">
        <w:rPr>
          <w:rFonts w:hint="eastAsia"/>
          <w:bCs/>
          <w:snapToGrid w:val="0"/>
          <w:szCs w:val="21"/>
        </w:rPr>
        <w:lastRenderedPageBreak/>
        <w:t>112.8</w:t>
      </w:r>
      <w:r w:rsidRPr="007B4562">
        <w:rPr>
          <w:bCs/>
          <w:snapToGrid w:val="0"/>
          <w:szCs w:val="21"/>
        </w:rPr>
        <w:t>亿元，增长</w:t>
      </w:r>
      <w:r w:rsidRPr="007B4562">
        <w:rPr>
          <w:rFonts w:hint="eastAsia"/>
          <w:bCs/>
          <w:snapToGrid w:val="0"/>
          <w:szCs w:val="21"/>
        </w:rPr>
        <w:t>164.1</w:t>
      </w:r>
      <w:r w:rsidRPr="007B4562">
        <w:rPr>
          <w:bCs/>
          <w:snapToGrid w:val="0"/>
          <w:szCs w:val="21"/>
        </w:rPr>
        <w:t>%</w:t>
      </w:r>
      <w:r w:rsidRPr="007B4562">
        <w:rPr>
          <w:bCs/>
          <w:snapToGrid w:val="0"/>
          <w:szCs w:val="21"/>
        </w:rPr>
        <w:t>；非金融企业及机关团体贷款</w:t>
      </w:r>
      <w:r w:rsidRPr="007B4562">
        <w:rPr>
          <w:rFonts w:hint="eastAsia"/>
          <w:bCs/>
          <w:snapToGrid w:val="0"/>
          <w:szCs w:val="21"/>
        </w:rPr>
        <w:t>631.7</w:t>
      </w:r>
      <w:r w:rsidRPr="007B4562">
        <w:rPr>
          <w:bCs/>
          <w:snapToGrid w:val="0"/>
          <w:szCs w:val="21"/>
        </w:rPr>
        <w:t>亿元，</w:t>
      </w:r>
      <w:r w:rsidRPr="007B4562">
        <w:rPr>
          <w:rFonts w:hint="eastAsia"/>
          <w:bCs/>
          <w:snapToGrid w:val="0"/>
          <w:szCs w:val="21"/>
        </w:rPr>
        <w:t>增长</w:t>
      </w:r>
      <w:r w:rsidRPr="007B4562">
        <w:rPr>
          <w:rFonts w:hint="eastAsia"/>
          <w:bCs/>
          <w:snapToGrid w:val="0"/>
          <w:szCs w:val="21"/>
        </w:rPr>
        <w:t>11.7</w:t>
      </w:r>
      <w:r w:rsidRPr="007B4562">
        <w:rPr>
          <w:bCs/>
          <w:snapToGrid w:val="0"/>
          <w:szCs w:val="21"/>
        </w:rPr>
        <w:t>%</w:t>
      </w:r>
      <w:r w:rsidRPr="007B4562">
        <w:rPr>
          <w:bCs/>
          <w:snapToGrid w:val="0"/>
          <w:szCs w:val="21"/>
        </w:rPr>
        <w:t>。</w:t>
      </w:r>
    </w:p>
    <w:p w:rsidR="009F1E68" w:rsidRPr="007B4562" w:rsidRDefault="009F1E68" w:rsidP="009F1E68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7B4562">
        <w:rPr>
          <w:rFonts w:hint="eastAsia"/>
          <w:szCs w:val="21"/>
        </w:rPr>
        <w:t>年末</w:t>
      </w:r>
      <w:r w:rsidRPr="007B4562">
        <w:rPr>
          <w:rFonts w:hint="eastAsia"/>
          <w:bCs/>
          <w:snapToGrid w:val="0"/>
          <w:szCs w:val="21"/>
        </w:rPr>
        <w:t>辖区内</w:t>
      </w:r>
      <w:r w:rsidRPr="007B4562">
        <w:rPr>
          <w:rFonts w:hint="eastAsia"/>
          <w:szCs w:val="21"/>
        </w:rPr>
        <w:t>保险业务机构</w:t>
      </w:r>
      <w:r w:rsidRPr="007B4562">
        <w:rPr>
          <w:rFonts w:hint="eastAsia"/>
          <w:szCs w:val="21"/>
        </w:rPr>
        <w:t>16</w:t>
      </w:r>
      <w:r w:rsidRPr="007B4562">
        <w:rPr>
          <w:rFonts w:hint="eastAsia"/>
          <w:szCs w:val="21"/>
        </w:rPr>
        <w:t>家。按业务性质分，财产险业务机构</w:t>
      </w:r>
      <w:r w:rsidRPr="007B4562">
        <w:rPr>
          <w:rFonts w:hint="eastAsia"/>
          <w:szCs w:val="21"/>
        </w:rPr>
        <w:t>10</w:t>
      </w:r>
      <w:r w:rsidRPr="007B4562">
        <w:rPr>
          <w:rFonts w:hint="eastAsia"/>
          <w:szCs w:val="21"/>
        </w:rPr>
        <w:t>家，寿险业务机构</w:t>
      </w:r>
      <w:r w:rsidRPr="007B4562">
        <w:rPr>
          <w:szCs w:val="21"/>
        </w:rPr>
        <w:t>6</w:t>
      </w:r>
      <w:r w:rsidRPr="007B4562">
        <w:rPr>
          <w:rFonts w:hint="eastAsia"/>
          <w:szCs w:val="21"/>
        </w:rPr>
        <w:t>家。全年保险公司各项保费收入</w:t>
      </w:r>
      <w:r w:rsidRPr="007B4562">
        <w:rPr>
          <w:rFonts w:hint="eastAsia"/>
          <w:szCs w:val="21"/>
        </w:rPr>
        <w:t>28.8</w:t>
      </w:r>
      <w:r w:rsidRPr="007B4562">
        <w:rPr>
          <w:rFonts w:hint="eastAsia"/>
          <w:szCs w:val="21"/>
        </w:rPr>
        <w:t>亿元，比上年增长</w:t>
      </w:r>
      <w:r w:rsidRPr="007B4562">
        <w:rPr>
          <w:rFonts w:hint="eastAsia"/>
          <w:szCs w:val="21"/>
        </w:rPr>
        <w:t>17.6</w:t>
      </w:r>
      <w:r w:rsidRPr="007B4562">
        <w:rPr>
          <w:szCs w:val="21"/>
        </w:rPr>
        <w:t>%</w:t>
      </w:r>
      <w:r w:rsidRPr="007B4562">
        <w:rPr>
          <w:rFonts w:hint="eastAsia"/>
          <w:szCs w:val="21"/>
        </w:rPr>
        <w:t>。其中，财产</w:t>
      </w:r>
      <w:proofErr w:type="gramStart"/>
      <w:r w:rsidRPr="007B4562">
        <w:rPr>
          <w:rFonts w:hint="eastAsia"/>
          <w:szCs w:val="21"/>
        </w:rPr>
        <w:t>险收入</w:t>
      </w:r>
      <w:proofErr w:type="gramEnd"/>
      <w:r w:rsidRPr="007B4562">
        <w:rPr>
          <w:rFonts w:hint="eastAsia"/>
          <w:szCs w:val="21"/>
        </w:rPr>
        <w:t>12.4</w:t>
      </w:r>
      <w:r w:rsidRPr="007B4562">
        <w:rPr>
          <w:rFonts w:hint="eastAsia"/>
          <w:szCs w:val="21"/>
        </w:rPr>
        <w:t>亿元，比上年增长</w:t>
      </w:r>
      <w:r w:rsidRPr="007B4562">
        <w:rPr>
          <w:rFonts w:hint="eastAsia"/>
          <w:szCs w:val="21"/>
        </w:rPr>
        <w:t>19.6</w:t>
      </w:r>
      <w:r w:rsidRPr="007B4562">
        <w:rPr>
          <w:szCs w:val="21"/>
        </w:rPr>
        <w:t>%</w:t>
      </w:r>
      <w:r w:rsidRPr="007B4562">
        <w:rPr>
          <w:szCs w:val="21"/>
        </w:rPr>
        <w:t>，</w:t>
      </w:r>
      <w:r w:rsidRPr="007B4562">
        <w:rPr>
          <w:rFonts w:hint="eastAsia"/>
          <w:szCs w:val="21"/>
        </w:rPr>
        <w:t>赔款支出</w:t>
      </w:r>
      <w:r w:rsidRPr="007B4562">
        <w:rPr>
          <w:rFonts w:hint="eastAsia"/>
          <w:szCs w:val="21"/>
        </w:rPr>
        <w:t>4.9</w:t>
      </w:r>
      <w:r w:rsidRPr="007B4562">
        <w:rPr>
          <w:rFonts w:hint="eastAsia"/>
          <w:szCs w:val="21"/>
        </w:rPr>
        <w:t>亿元，增长</w:t>
      </w:r>
      <w:r w:rsidRPr="007B4562">
        <w:rPr>
          <w:rFonts w:hint="eastAsia"/>
          <w:szCs w:val="21"/>
        </w:rPr>
        <w:t>24.0</w:t>
      </w:r>
      <w:r w:rsidRPr="007B4562">
        <w:rPr>
          <w:szCs w:val="21"/>
        </w:rPr>
        <w:t>%</w:t>
      </w:r>
      <w:r w:rsidRPr="007B4562">
        <w:rPr>
          <w:rFonts w:hint="eastAsia"/>
          <w:szCs w:val="21"/>
        </w:rPr>
        <w:t>；寿险收入</w:t>
      </w:r>
      <w:r w:rsidRPr="007B4562">
        <w:rPr>
          <w:rFonts w:hint="eastAsia"/>
          <w:szCs w:val="21"/>
        </w:rPr>
        <w:t>16.4</w:t>
      </w:r>
      <w:r w:rsidRPr="007B4562">
        <w:rPr>
          <w:rFonts w:hint="eastAsia"/>
          <w:szCs w:val="21"/>
        </w:rPr>
        <w:t>亿元，比上年增长</w:t>
      </w:r>
      <w:r w:rsidRPr="007B4562">
        <w:rPr>
          <w:rFonts w:hint="eastAsia"/>
          <w:szCs w:val="21"/>
        </w:rPr>
        <w:t>16.2</w:t>
      </w:r>
      <w:r w:rsidRPr="007B4562">
        <w:rPr>
          <w:szCs w:val="21"/>
        </w:rPr>
        <w:t>%</w:t>
      </w:r>
      <w:r w:rsidRPr="007B4562">
        <w:rPr>
          <w:rFonts w:hint="eastAsia"/>
          <w:szCs w:val="21"/>
        </w:rPr>
        <w:t>，赔款支出</w:t>
      </w:r>
      <w:r w:rsidRPr="007B4562">
        <w:rPr>
          <w:rFonts w:hint="eastAsia"/>
          <w:szCs w:val="21"/>
        </w:rPr>
        <w:t>2.7</w:t>
      </w:r>
      <w:r w:rsidRPr="007B4562">
        <w:rPr>
          <w:rFonts w:hint="eastAsia"/>
          <w:szCs w:val="21"/>
        </w:rPr>
        <w:t>亿元，增长</w:t>
      </w:r>
      <w:r w:rsidRPr="007B4562">
        <w:rPr>
          <w:rFonts w:hint="eastAsia"/>
          <w:szCs w:val="21"/>
        </w:rPr>
        <w:t>6.3</w:t>
      </w:r>
      <w:r w:rsidRPr="007B4562">
        <w:rPr>
          <w:szCs w:val="21"/>
        </w:rPr>
        <w:t>%</w:t>
      </w:r>
      <w:r w:rsidRPr="007B4562">
        <w:rPr>
          <w:rFonts w:hint="eastAsia"/>
          <w:szCs w:val="21"/>
        </w:rPr>
        <w:t>。</w:t>
      </w:r>
    </w:p>
    <w:p w:rsidR="009F1E68" w:rsidRPr="009311A9" w:rsidRDefault="009F1E68" w:rsidP="009F1E68">
      <w:pPr>
        <w:adjustRightInd w:val="0"/>
        <w:snapToGrid w:val="0"/>
        <w:spacing w:line="400" w:lineRule="exact"/>
        <w:ind w:firstLineChars="200" w:firstLine="420"/>
        <w:rPr>
          <w:bCs/>
          <w:snapToGrid w:val="0"/>
          <w:szCs w:val="21"/>
        </w:rPr>
      </w:pPr>
      <w:r w:rsidRPr="007B4562">
        <w:rPr>
          <w:rFonts w:hint="eastAsia"/>
          <w:bCs/>
          <w:snapToGrid w:val="0"/>
          <w:szCs w:val="21"/>
        </w:rPr>
        <w:t>年末辖区内证券公司营业部</w:t>
      </w:r>
      <w:r w:rsidRPr="007B4562">
        <w:rPr>
          <w:rFonts w:hint="eastAsia"/>
          <w:bCs/>
          <w:snapToGrid w:val="0"/>
          <w:szCs w:val="21"/>
        </w:rPr>
        <w:t xml:space="preserve">8 </w:t>
      </w:r>
      <w:r w:rsidRPr="007B4562">
        <w:rPr>
          <w:rFonts w:hint="eastAsia"/>
          <w:bCs/>
          <w:snapToGrid w:val="0"/>
          <w:szCs w:val="21"/>
        </w:rPr>
        <w:t>家，证券交易额为</w:t>
      </w:r>
      <w:r w:rsidRPr="007B4562">
        <w:rPr>
          <w:rFonts w:hint="eastAsia"/>
          <w:bCs/>
          <w:snapToGrid w:val="0"/>
          <w:szCs w:val="21"/>
        </w:rPr>
        <w:t>652.58</w:t>
      </w:r>
      <w:r w:rsidRPr="007B4562">
        <w:rPr>
          <w:rFonts w:hint="eastAsia"/>
          <w:bCs/>
          <w:snapToGrid w:val="0"/>
          <w:szCs w:val="21"/>
        </w:rPr>
        <w:t>亿元。取得经营许可证的融资性担保机构</w:t>
      </w:r>
      <w:r w:rsidRPr="007B4562">
        <w:rPr>
          <w:rFonts w:hint="eastAsia"/>
          <w:bCs/>
          <w:snapToGrid w:val="0"/>
          <w:szCs w:val="21"/>
        </w:rPr>
        <w:t xml:space="preserve"> 4 </w:t>
      </w:r>
      <w:r w:rsidRPr="007B4562">
        <w:rPr>
          <w:rFonts w:hint="eastAsia"/>
          <w:bCs/>
          <w:snapToGrid w:val="0"/>
          <w:szCs w:val="21"/>
        </w:rPr>
        <w:t>家，注册资本共计</w:t>
      </w:r>
      <w:r w:rsidRPr="007B4562">
        <w:rPr>
          <w:rFonts w:hint="eastAsia"/>
          <w:bCs/>
          <w:snapToGrid w:val="0"/>
          <w:szCs w:val="21"/>
        </w:rPr>
        <w:t>5.58</w:t>
      </w:r>
      <w:r w:rsidRPr="007B4562">
        <w:rPr>
          <w:rFonts w:hint="eastAsia"/>
          <w:bCs/>
          <w:snapToGrid w:val="0"/>
          <w:szCs w:val="21"/>
        </w:rPr>
        <w:t>亿元，全年担保业务发生额</w:t>
      </w:r>
      <w:r w:rsidRPr="007B4562">
        <w:rPr>
          <w:rFonts w:hint="eastAsia"/>
          <w:bCs/>
          <w:snapToGrid w:val="0"/>
          <w:szCs w:val="21"/>
        </w:rPr>
        <w:t>2.61</w:t>
      </w:r>
      <w:r w:rsidRPr="007B4562">
        <w:rPr>
          <w:rFonts w:hint="eastAsia"/>
          <w:bCs/>
          <w:snapToGrid w:val="0"/>
          <w:szCs w:val="21"/>
        </w:rPr>
        <w:t>亿元，增长</w:t>
      </w:r>
      <w:r w:rsidRPr="007B4562">
        <w:rPr>
          <w:rFonts w:hint="eastAsia"/>
          <w:bCs/>
          <w:snapToGrid w:val="0"/>
          <w:szCs w:val="21"/>
        </w:rPr>
        <w:t>24.28 %</w:t>
      </w:r>
      <w:r w:rsidRPr="007B4562">
        <w:rPr>
          <w:rFonts w:hint="eastAsia"/>
          <w:bCs/>
          <w:snapToGrid w:val="0"/>
          <w:szCs w:val="21"/>
        </w:rPr>
        <w:t>；年末担保责任余额</w:t>
      </w:r>
      <w:r w:rsidRPr="007B4562">
        <w:rPr>
          <w:rFonts w:hint="eastAsia"/>
          <w:bCs/>
          <w:snapToGrid w:val="0"/>
          <w:szCs w:val="21"/>
        </w:rPr>
        <w:t>2.84</w:t>
      </w:r>
      <w:r w:rsidRPr="007B4562">
        <w:rPr>
          <w:rFonts w:hint="eastAsia"/>
          <w:bCs/>
          <w:snapToGrid w:val="0"/>
          <w:szCs w:val="21"/>
        </w:rPr>
        <w:t>亿元，增长</w:t>
      </w:r>
      <w:r w:rsidRPr="007B4562">
        <w:rPr>
          <w:rFonts w:hint="eastAsia"/>
          <w:bCs/>
          <w:snapToGrid w:val="0"/>
          <w:szCs w:val="21"/>
        </w:rPr>
        <w:t>46.39%</w:t>
      </w:r>
      <w:r w:rsidRPr="007B4562">
        <w:rPr>
          <w:rFonts w:hint="eastAsia"/>
          <w:bCs/>
          <w:snapToGrid w:val="0"/>
          <w:szCs w:val="21"/>
        </w:rPr>
        <w:t>。小额贷款公司</w:t>
      </w:r>
      <w:r w:rsidRPr="007B4562">
        <w:rPr>
          <w:rFonts w:hint="eastAsia"/>
          <w:bCs/>
          <w:snapToGrid w:val="0"/>
          <w:szCs w:val="21"/>
        </w:rPr>
        <w:t xml:space="preserve">6 </w:t>
      </w:r>
      <w:r w:rsidRPr="007B4562">
        <w:rPr>
          <w:rFonts w:hint="eastAsia"/>
          <w:bCs/>
          <w:snapToGrid w:val="0"/>
          <w:szCs w:val="21"/>
        </w:rPr>
        <w:t>家，注册资本共计</w:t>
      </w:r>
      <w:r w:rsidRPr="007B4562">
        <w:rPr>
          <w:rFonts w:hint="eastAsia"/>
          <w:bCs/>
          <w:snapToGrid w:val="0"/>
          <w:szCs w:val="21"/>
        </w:rPr>
        <w:t>7.57</w:t>
      </w:r>
      <w:r w:rsidRPr="007B4562">
        <w:rPr>
          <w:rFonts w:hint="eastAsia"/>
          <w:bCs/>
          <w:snapToGrid w:val="0"/>
          <w:szCs w:val="21"/>
        </w:rPr>
        <w:t>亿元，全年发放贷款</w:t>
      </w:r>
      <w:r w:rsidRPr="007B4562">
        <w:rPr>
          <w:rFonts w:hint="eastAsia"/>
          <w:bCs/>
          <w:snapToGrid w:val="0"/>
          <w:szCs w:val="21"/>
        </w:rPr>
        <w:t>6.61</w:t>
      </w:r>
      <w:r w:rsidRPr="007B4562">
        <w:rPr>
          <w:rFonts w:hint="eastAsia"/>
          <w:bCs/>
          <w:snapToGrid w:val="0"/>
          <w:szCs w:val="21"/>
        </w:rPr>
        <w:t>亿元，增长</w:t>
      </w:r>
      <w:r w:rsidRPr="007B4562">
        <w:rPr>
          <w:rFonts w:hint="eastAsia"/>
          <w:bCs/>
          <w:snapToGrid w:val="0"/>
          <w:szCs w:val="21"/>
        </w:rPr>
        <w:t>99.1%</w:t>
      </w:r>
      <w:r w:rsidRPr="007B4562">
        <w:rPr>
          <w:rFonts w:hint="eastAsia"/>
          <w:bCs/>
          <w:snapToGrid w:val="0"/>
          <w:szCs w:val="21"/>
        </w:rPr>
        <w:t>，年末贷款余额为</w:t>
      </w:r>
      <w:r w:rsidRPr="007B4562">
        <w:rPr>
          <w:rFonts w:hint="eastAsia"/>
          <w:bCs/>
          <w:snapToGrid w:val="0"/>
          <w:szCs w:val="21"/>
        </w:rPr>
        <w:t>8.18</w:t>
      </w:r>
      <w:r w:rsidRPr="007B4562">
        <w:rPr>
          <w:rFonts w:hint="eastAsia"/>
          <w:bCs/>
          <w:snapToGrid w:val="0"/>
          <w:szCs w:val="21"/>
        </w:rPr>
        <w:t>亿元，增长</w:t>
      </w:r>
      <w:r w:rsidRPr="007B4562">
        <w:rPr>
          <w:rFonts w:hint="eastAsia"/>
          <w:bCs/>
          <w:snapToGrid w:val="0"/>
          <w:szCs w:val="21"/>
        </w:rPr>
        <w:t>26.23%</w:t>
      </w:r>
      <w:r w:rsidRPr="007B4562">
        <w:rPr>
          <w:rFonts w:hint="eastAsia"/>
          <w:bCs/>
          <w:snapToGrid w:val="0"/>
          <w:szCs w:val="21"/>
        </w:rPr>
        <w:t>。</w:t>
      </w:r>
    </w:p>
    <w:p w:rsidR="005E7290" w:rsidRPr="00C41ECD" w:rsidRDefault="005E7290" w:rsidP="00AF2873">
      <w:pPr>
        <w:adjustRightInd w:val="0"/>
        <w:snapToGrid w:val="0"/>
        <w:spacing w:beforeLines="50" w:before="156" w:afterLines="50" w:after="156" w:line="380" w:lineRule="exact"/>
        <w:ind w:firstLineChars="200" w:firstLine="480"/>
        <w:rPr>
          <w:rFonts w:eastAsia="方正黑体简体"/>
          <w:kern w:val="21"/>
          <w:sz w:val="24"/>
        </w:rPr>
      </w:pPr>
      <w:r w:rsidRPr="00C41ECD">
        <w:rPr>
          <w:rFonts w:eastAsia="方正黑体简体" w:hint="eastAsia"/>
          <w:kern w:val="21"/>
          <w:sz w:val="24"/>
        </w:rPr>
        <w:t>八、教育和科学技术</w:t>
      </w:r>
    </w:p>
    <w:p w:rsidR="005E7290" w:rsidRPr="00C41ECD" w:rsidRDefault="005E7290" w:rsidP="005E7290">
      <w:pPr>
        <w:adjustRightInd w:val="0"/>
        <w:snapToGrid w:val="0"/>
        <w:spacing w:line="380" w:lineRule="exact"/>
        <w:ind w:firstLineChars="250" w:firstLine="525"/>
        <w:rPr>
          <w:snapToGrid w:val="0"/>
          <w:kern w:val="0"/>
          <w:szCs w:val="21"/>
        </w:rPr>
      </w:pPr>
      <w:r w:rsidRPr="00C41ECD">
        <w:rPr>
          <w:rFonts w:hint="eastAsia"/>
          <w:snapToGrid w:val="0"/>
          <w:kern w:val="0"/>
          <w:szCs w:val="21"/>
        </w:rPr>
        <w:t>年末</w:t>
      </w:r>
      <w:r w:rsidR="00724E1C">
        <w:rPr>
          <w:rFonts w:hint="eastAsia"/>
          <w:snapToGrid w:val="0"/>
          <w:kern w:val="0"/>
          <w:szCs w:val="21"/>
        </w:rPr>
        <w:t>全市</w:t>
      </w:r>
      <w:r w:rsidRPr="00C41ECD">
        <w:rPr>
          <w:rFonts w:hint="eastAsia"/>
          <w:snapToGrid w:val="0"/>
          <w:kern w:val="0"/>
          <w:szCs w:val="21"/>
        </w:rPr>
        <w:t>共有大中专院校</w:t>
      </w:r>
      <w:r w:rsidRPr="00C41ECD">
        <w:rPr>
          <w:rFonts w:hint="eastAsia"/>
          <w:snapToGrid w:val="0"/>
          <w:kern w:val="0"/>
          <w:szCs w:val="21"/>
        </w:rPr>
        <w:t>4</w:t>
      </w:r>
      <w:r w:rsidRPr="00C41ECD">
        <w:rPr>
          <w:rFonts w:hint="eastAsia"/>
          <w:snapToGrid w:val="0"/>
          <w:kern w:val="0"/>
          <w:szCs w:val="21"/>
        </w:rPr>
        <w:t>所，普通中学</w:t>
      </w:r>
      <w:r w:rsidRPr="00C41ECD">
        <w:rPr>
          <w:rFonts w:hint="eastAsia"/>
          <w:snapToGrid w:val="0"/>
          <w:kern w:val="0"/>
          <w:szCs w:val="21"/>
        </w:rPr>
        <w:t>20</w:t>
      </w:r>
      <w:r w:rsidRPr="00C41ECD">
        <w:rPr>
          <w:rFonts w:hint="eastAsia"/>
          <w:snapToGrid w:val="0"/>
          <w:kern w:val="0"/>
          <w:szCs w:val="21"/>
        </w:rPr>
        <w:t>所，普通小学</w:t>
      </w:r>
      <w:r w:rsidRPr="00C41ECD">
        <w:rPr>
          <w:rFonts w:hint="eastAsia"/>
          <w:snapToGrid w:val="0"/>
          <w:kern w:val="0"/>
          <w:szCs w:val="21"/>
        </w:rPr>
        <w:t>28</w:t>
      </w:r>
      <w:r w:rsidRPr="00C41ECD">
        <w:rPr>
          <w:rFonts w:hint="eastAsia"/>
          <w:snapToGrid w:val="0"/>
          <w:kern w:val="0"/>
          <w:szCs w:val="21"/>
        </w:rPr>
        <w:t>所，幼儿园</w:t>
      </w:r>
      <w:r w:rsidRPr="00C41ECD">
        <w:rPr>
          <w:rFonts w:hint="eastAsia"/>
          <w:snapToGrid w:val="0"/>
          <w:kern w:val="0"/>
          <w:szCs w:val="21"/>
        </w:rPr>
        <w:t>47</w:t>
      </w:r>
      <w:r w:rsidRPr="00C41ECD">
        <w:rPr>
          <w:rFonts w:hint="eastAsia"/>
          <w:snapToGrid w:val="0"/>
          <w:kern w:val="0"/>
          <w:szCs w:val="21"/>
        </w:rPr>
        <w:t>所，特殊教育学校</w:t>
      </w:r>
      <w:r w:rsidRPr="00C41ECD">
        <w:rPr>
          <w:rFonts w:hint="eastAsia"/>
          <w:snapToGrid w:val="0"/>
          <w:kern w:val="0"/>
          <w:szCs w:val="21"/>
        </w:rPr>
        <w:t xml:space="preserve">1 </w:t>
      </w:r>
      <w:r w:rsidRPr="00C41ECD">
        <w:rPr>
          <w:rFonts w:hint="eastAsia"/>
          <w:snapToGrid w:val="0"/>
          <w:kern w:val="0"/>
          <w:szCs w:val="21"/>
        </w:rPr>
        <w:t>所。</w:t>
      </w:r>
    </w:p>
    <w:p w:rsidR="005E7290" w:rsidRPr="00C41ECD" w:rsidRDefault="005E7290" w:rsidP="005E7290">
      <w:pPr>
        <w:adjustRightInd w:val="0"/>
        <w:snapToGrid w:val="0"/>
        <w:spacing w:line="380" w:lineRule="exact"/>
        <w:ind w:firstLineChars="1600" w:firstLine="3840"/>
        <w:jc w:val="right"/>
        <w:rPr>
          <w:kern w:val="21"/>
          <w:szCs w:val="21"/>
        </w:rPr>
      </w:pPr>
      <w:r w:rsidRPr="00C41ECD">
        <w:rPr>
          <w:rFonts w:eastAsia="方正宋黑简体" w:hint="eastAsia"/>
          <w:kern w:val="21"/>
          <w:sz w:val="24"/>
        </w:rPr>
        <w:t>师生分布情况如下</w:t>
      </w:r>
      <w:r w:rsidRPr="00C41ECD">
        <w:rPr>
          <w:rFonts w:eastAsia="方正宋黑简体"/>
          <w:kern w:val="21"/>
          <w:sz w:val="24"/>
        </w:rPr>
        <w:t xml:space="preserve">  </w:t>
      </w:r>
      <w:r w:rsidRPr="00C41ECD">
        <w:rPr>
          <w:rFonts w:eastAsia="方正黑体简体"/>
          <w:kern w:val="21"/>
          <w:sz w:val="24"/>
        </w:rPr>
        <w:t xml:space="preserve">                       </w:t>
      </w:r>
      <w:r w:rsidRPr="00C41ECD">
        <w:rPr>
          <w:rFonts w:hint="eastAsia"/>
          <w:kern w:val="21"/>
          <w:szCs w:val="21"/>
        </w:rPr>
        <w:t>单位：人</w:t>
      </w:r>
    </w:p>
    <w:tbl>
      <w:tblPr>
        <w:tblW w:w="9746" w:type="dxa"/>
        <w:jc w:val="center"/>
        <w:tblBorders>
          <w:top w:val="single" w:sz="12" w:space="0" w:color="auto"/>
          <w:bottom w:val="single" w:sz="12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01"/>
        <w:gridCol w:w="1429"/>
        <w:gridCol w:w="1429"/>
        <w:gridCol w:w="1429"/>
        <w:gridCol w:w="1429"/>
        <w:gridCol w:w="1429"/>
      </w:tblGrid>
      <w:tr w:rsidR="005E7290" w:rsidRPr="00C41ECD" w:rsidTr="0008595F">
        <w:trPr>
          <w:trHeight w:hRule="exact" w:val="210"/>
          <w:jc w:val="center"/>
        </w:trPr>
        <w:tc>
          <w:tcPr>
            <w:tcW w:w="2601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jc w:val="center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指标名称</w:t>
            </w:r>
          </w:p>
        </w:tc>
        <w:tc>
          <w:tcPr>
            <w:tcW w:w="14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jc w:val="center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在校生</w:t>
            </w:r>
          </w:p>
        </w:tc>
        <w:tc>
          <w:tcPr>
            <w:tcW w:w="14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jc w:val="center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毕业生</w:t>
            </w:r>
          </w:p>
        </w:tc>
        <w:tc>
          <w:tcPr>
            <w:tcW w:w="14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jc w:val="center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招生</w:t>
            </w:r>
          </w:p>
        </w:tc>
        <w:tc>
          <w:tcPr>
            <w:tcW w:w="14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jc w:val="center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教职工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7290" w:rsidRPr="00C41ECD" w:rsidTr="0008595F">
        <w:trPr>
          <w:trHeight w:val="33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E7290" w:rsidRPr="00C41ECD" w:rsidRDefault="005E7290" w:rsidP="0008595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290" w:rsidRPr="00C41ECD" w:rsidRDefault="005E7290" w:rsidP="0008595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290" w:rsidRPr="00C41ECD" w:rsidRDefault="005E7290" w:rsidP="0008595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290" w:rsidRPr="00C41ECD" w:rsidRDefault="005E7290" w:rsidP="0008595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E7290" w:rsidRPr="00C41ECD" w:rsidRDefault="005E7290" w:rsidP="0008595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jc w:val="center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教师</w:t>
            </w:r>
          </w:p>
        </w:tc>
      </w:tr>
      <w:tr w:rsidR="005E7290" w:rsidRPr="00C41ECD" w:rsidTr="0008595F">
        <w:trPr>
          <w:trHeight w:hRule="exact" w:val="340"/>
          <w:jc w:val="center"/>
        </w:trPr>
        <w:tc>
          <w:tcPr>
            <w:tcW w:w="26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ind w:leftChars="100" w:left="210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大中专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15550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2532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5132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1342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798</w:t>
            </w:r>
          </w:p>
        </w:tc>
      </w:tr>
      <w:tr w:rsidR="005E7290" w:rsidRPr="00C41ECD" w:rsidTr="0008595F">
        <w:trPr>
          <w:trHeight w:hRule="exact" w:val="340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ind w:leftChars="100" w:left="210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普通中学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24244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8184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6627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3074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2461</w:t>
            </w:r>
          </w:p>
        </w:tc>
      </w:tr>
      <w:tr w:rsidR="005E7290" w:rsidRPr="00C41ECD" w:rsidTr="0008595F">
        <w:trPr>
          <w:trHeight w:hRule="exact" w:val="340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ind w:leftChars="100" w:left="210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普通小学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27329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4217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5101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2299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2030</w:t>
            </w:r>
          </w:p>
        </w:tc>
      </w:tr>
      <w:tr w:rsidR="005E7290" w:rsidRPr="00C41ECD" w:rsidTr="0008595F">
        <w:trPr>
          <w:trHeight w:hRule="exact" w:val="340"/>
          <w:jc w:val="center"/>
        </w:trPr>
        <w:tc>
          <w:tcPr>
            <w:tcW w:w="260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ind w:leftChars="100" w:left="210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幼儿园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15850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5251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4791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1507</w:t>
            </w:r>
          </w:p>
        </w:tc>
        <w:tc>
          <w:tcPr>
            <w:tcW w:w="142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7290" w:rsidRPr="00C41ECD" w:rsidRDefault="005E7290" w:rsidP="0008595F">
            <w:pPr>
              <w:adjustRightInd w:val="0"/>
              <w:snapToGrid w:val="0"/>
              <w:spacing w:line="240" w:lineRule="exact"/>
              <w:ind w:rightChars="200" w:right="420"/>
              <w:jc w:val="right"/>
              <w:rPr>
                <w:szCs w:val="21"/>
              </w:rPr>
            </w:pPr>
            <w:r w:rsidRPr="00C41ECD">
              <w:rPr>
                <w:rFonts w:hint="eastAsia"/>
                <w:szCs w:val="21"/>
              </w:rPr>
              <w:t>1035</w:t>
            </w:r>
          </w:p>
        </w:tc>
      </w:tr>
    </w:tbl>
    <w:p w:rsidR="005E7290" w:rsidRPr="00C41ECD" w:rsidRDefault="005E7290" w:rsidP="005E7290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C41ECD">
        <w:rPr>
          <w:rFonts w:hint="eastAsia"/>
          <w:szCs w:val="21"/>
        </w:rPr>
        <w:t>小学生入学率、巩固率</w:t>
      </w:r>
      <w:r w:rsidRPr="00C41ECD">
        <w:rPr>
          <w:rFonts w:hint="eastAsia"/>
          <w:szCs w:val="21"/>
        </w:rPr>
        <w:t>100%</w:t>
      </w:r>
      <w:r w:rsidRPr="00C41ECD">
        <w:rPr>
          <w:rFonts w:hint="eastAsia"/>
          <w:szCs w:val="21"/>
        </w:rPr>
        <w:t>；初中入学率</w:t>
      </w:r>
      <w:r w:rsidRPr="00C41ECD">
        <w:rPr>
          <w:rFonts w:hint="eastAsia"/>
          <w:szCs w:val="21"/>
        </w:rPr>
        <w:t>100%</w:t>
      </w:r>
      <w:r w:rsidRPr="00C41ECD">
        <w:rPr>
          <w:rFonts w:hint="eastAsia"/>
          <w:szCs w:val="21"/>
        </w:rPr>
        <w:t>，巩固率</w:t>
      </w:r>
      <w:r w:rsidRPr="00C41ECD">
        <w:rPr>
          <w:rFonts w:hint="eastAsia"/>
          <w:szCs w:val="21"/>
        </w:rPr>
        <w:t>99.9%</w:t>
      </w:r>
      <w:r w:rsidRPr="00C41ECD">
        <w:rPr>
          <w:rFonts w:hint="eastAsia"/>
          <w:szCs w:val="21"/>
        </w:rPr>
        <w:t>，毕业合格率</w:t>
      </w:r>
      <w:r w:rsidRPr="00C41ECD">
        <w:rPr>
          <w:rFonts w:hint="eastAsia"/>
          <w:szCs w:val="21"/>
        </w:rPr>
        <w:t xml:space="preserve"> 97 %</w:t>
      </w:r>
      <w:r w:rsidRPr="00C41ECD">
        <w:rPr>
          <w:rFonts w:hint="eastAsia"/>
          <w:szCs w:val="21"/>
        </w:rPr>
        <w:t>以上；普通高中学业水平考试合格率</w:t>
      </w:r>
      <w:r w:rsidRPr="00C41ECD">
        <w:rPr>
          <w:rFonts w:hint="eastAsia"/>
          <w:szCs w:val="21"/>
        </w:rPr>
        <w:t xml:space="preserve"> 95.6 %</w:t>
      </w:r>
      <w:r w:rsidRPr="00C41ECD">
        <w:rPr>
          <w:rFonts w:hint="eastAsia"/>
          <w:szCs w:val="21"/>
        </w:rPr>
        <w:t>。普通高考</w:t>
      </w:r>
      <w:proofErr w:type="gramStart"/>
      <w:r w:rsidRPr="00C41ECD">
        <w:rPr>
          <w:rFonts w:hint="eastAsia"/>
          <w:szCs w:val="21"/>
        </w:rPr>
        <w:t>民汉综合</w:t>
      </w:r>
      <w:proofErr w:type="gramEnd"/>
      <w:r w:rsidRPr="00C41ECD">
        <w:rPr>
          <w:rFonts w:hint="eastAsia"/>
          <w:szCs w:val="21"/>
        </w:rPr>
        <w:t>上线率</w:t>
      </w:r>
      <w:r w:rsidRPr="00C41ECD">
        <w:rPr>
          <w:rFonts w:hint="eastAsia"/>
          <w:szCs w:val="21"/>
        </w:rPr>
        <w:t>98.45%</w:t>
      </w:r>
      <w:r w:rsidRPr="00C41ECD">
        <w:rPr>
          <w:rFonts w:hint="eastAsia"/>
          <w:szCs w:val="21"/>
        </w:rPr>
        <w:t>。教师学历合格率、义务教育巩固率、高中教育普及率等教育教学指标，均名列全疆各地、州（市）前茅。</w:t>
      </w:r>
    </w:p>
    <w:p w:rsidR="005E7290" w:rsidRPr="00C41ECD" w:rsidRDefault="005E7290" w:rsidP="005E7290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C41ECD">
        <w:rPr>
          <w:rFonts w:hint="eastAsia"/>
          <w:szCs w:val="21"/>
        </w:rPr>
        <w:t>在全市中小学中，有自治区级示范高中</w:t>
      </w:r>
      <w:r w:rsidRPr="00C41ECD">
        <w:rPr>
          <w:rFonts w:hint="eastAsia"/>
          <w:szCs w:val="21"/>
        </w:rPr>
        <w:t>3</w:t>
      </w:r>
      <w:r w:rsidRPr="00C41ECD">
        <w:rPr>
          <w:rFonts w:hint="eastAsia"/>
          <w:szCs w:val="21"/>
        </w:rPr>
        <w:t>所，市级示范学校</w:t>
      </w:r>
      <w:r w:rsidRPr="00C41ECD">
        <w:rPr>
          <w:rFonts w:hint="eastAsia"/>
          <w:szCs w:val="21"/>
        </w:rPr>
        <w:t>20</w:t>
      </w:r>
      <w:r w:rsidRPr="00C41ECD">
        <w:rPr>
          <w:rFonts w:hint="eastAsia"/>
          <w:szCs w:val="21"/>
        </w:rPr>
        <w:t>所，规范化学校</w:t>
      </w:r>
      <w:r w:rsidRPr="00C41ECD">
        <w:rPr>
          <w:rFonts w:hint="eastAsia"/>
          <w:szCs w:val="21"/>
        </w:rPr>
        <w:t>19</w:t>
      </w:r>
      <w:r w:rsidRPr="00C41ECD">
        <w:rPr>
          <w:rFonts w:hint="eastAsia"/>
          <w:szCs w:val="21"/>
        </w:rPr>
        <w:t>所，自治区级德育示范学校</w:t>
      </w:r>
      <w:r w:rsidRPr="00C41ECD">
        <w:rPr>
          <w:rFonts w:hint="eastAsia"/>
          <w:szCs w:val="21"/>
        </w:rPr>
        <w:t>14</w:t>
      </w:r>
      <w:r w:rsidRPr="00C41ECD">
        <w:rPr>
          <w:rFonts w:hint="eastAsia"/>
          <w:szCs w:val="21"/>
        </w:rPr>
        <w:t>所，市级德育示范学校</w:t>
      </w:r>
      <w:r w:rsidRPr="00C41ECD">
        <w:rPr>
          <w:rFonts w:hint="eastAsia"/>
          <w:szCs w:val="21"/>
        </w:rPr>
        <w:t>24</w:t>
      </w:r>
      <w:r w:rsidRPr="00C41ECD">
        <w:rPr>
          <w:rFonts w:hint="eastAsia"/>
          <w:szCs w:val="21"/>
        </w:rPr>
        <w:t>所，市级德育达标学校</w:t>
      </w:r>
      <w:r w:rsidRPr="00C41ECD">
        <w:rPr>
          <w:rFonts w:hint="eastAsia"/>
          <w:szCs w:val="21"/>
        </w:rPr>
        <w:t>16</w:t>
      </w:r>
      <w:r w:rsidRPr="00C41ECD">
        <w:rPr>
          <w:rFonts w:hint="eastAsia"/>
          <w:szCs w:val="21"/>
        </w:rPr>
        <w:t>所。在全市</w:t>
      </w:r>
      <w:r w:rsidRPr="00C41ECD">
        <w:rPr>
          <w:rFonts w:hint="eastAsia"/>
          <w:szCs w:val="21"/>
        </w:rPr>
        <w:t>47</w:t>
      </w:r>
      <w:r w:rsidRPr="00C41ECD">
        <w:rPr>
          <w:rFonts w:hint="eastAsia"/>
          <w:szCs w:val="21"/>
        </w:rPr>
        <w:t>所幼儿园中，有自治区级示范性幼儿园</w:t>
      </w:r>
      <w:r w:rsidRPr="00C41ECD">
        <w:rPr>
          <w:rFonts w:hint="eastAsia"/>
          <w:szCs w:val="21"/>
        </w:rPr>
        <w:t>4</w:t>
      </w:r>
      <w:r w:rsidRPr="00C41ECD">
        <w:rPr>
          <w:rFonts w:hint="eastAsia"/>
          <w:szCs w:val="21"/>
        </w:rPr>
        <w:t>所，市级示范性幼儿园</w:t>
      </w:r>
      <w:r w:rsidRPr="00C41ECD">
        <w:rPr>
          <w:rFonts w:hint="eastAsia"/>
          <w:szCs w:val="21"/>
        </w:rPr>
        <w:t>13</w:t>
      </w:r>
      <w:r w:rsidRPr="00C41ECD">
        <w:rPr>
          <w:rFonts w:hint="eastAsia"/>
          <w:szCs w:val="21"/>
        </w:rPr>
        <w:t>所，规范化幼儿园</w:t>
      </w:r>
      <w:r w:rsidRPr="00C41ECD">
        <w:rPr>
          <w:rFonts w:hint="eastAsia"/>
          <w:szCs w:val="21"/>
        </w:rPr>
        <w:t>9</w:t>
      </w:r>
      <w:r w:rsidRPr="00C41ECD">
        <w:rPr>
          <w:rFonts w:hint="eastAsia"/>
          <w:szCs w:val="21"/>
        </w:rPr>
        <w:t>所。在全市中小学幼儿园中，有市级特色学校（幼儿园）</w:t>
      </w:r>
      <w:r w:rsidRPr="00C41ECD">
        <w:rPr>
          <w:rFonts w:hint="eastAsia"/>
          <w:szCs w:val="21"/>
        </w:rPr>
        <w:t>45</w:t>
      </w:r>
      <w:r w:rsidRPr="00C41ECD">
        <w:rPr>
          <w:rFonts w:hint="eastAsia"/>
          <w:szCs w:val="21"/>
        </w:rPr>
        <w:t>所。</w:t>
      </w:r>
    </w:p>
    <w:p w:rsidR="005E7290" w:rsidRPr="00C41ECD" w:rsidRDefault="005E7290" w:rsidP="005E7290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C41ECD">
        <w:rPr>
          <w:rFonts w:hint="eastAsia"/>
          <w:szCs w:val="21"/>
        </w:rPr>
        <w:t>中国石油大学（北京）克拉玛依校区</w:t>
      </w:r>
      <w:r w:rsidRPr="00C41ECD">
        <w:rPr>
          <w:rFonts w:hint="eastAsia"/>
          <w:szCs w:val="21"/>
        </w:rPr>
        <w:t>2019</w:t>
      </w:r>
      <w:r w:rsidRPr="00C41ECD">
        <w:rPr>
          <w:rFonts w:hint="eastAsia"/>
          <w:szCs w:val="21"/>
        </w:rPr>
        <w:t>年录取学生</w:t>
      </w:r>
      <w:r w:rsidRPr="00C41ECD">
        <w:rPr>
          <w:rFonts w:hint="eastAsia"/>
          <w:szCs w:val="21"/>
        </w:rPr>
        <w:t>966</w:t>
      </w:r>
      <w:r w:rsidRPr="00C41ECD">
        <w:rPr>
          <w:rFonts w:hint="eastAsia"/>
          <w:szCs w:val="21"/>
        </w:rPr>
        <w:t>人。目前，校区在校学生</w:t>
      </w:r>
      <w:r w:rsidRPr="00C41ECD">
        <w:rPr>
          <w:rFonts w:hint="eastAsia"/>
          <w:szCs w:val="21"/>
        </w:rPr>
        <w:t>3061</w:t>
      </w:r>
      <w:r w:rsidRPr="00C41ECD">
        <w:rPr>
          <w:rFonts w:hint="eastAsia"/>
          <w:szCs w:val="21"/>
        </w:rPr>
        <w:t>人。</w:t>
      </w:r>
    </w:p>
    <w:p w:rsidR="005E7290" w:rsidRDefault="005E7290" w:rsidP="005E7290">
      <w:pPr>
        <w:adjustRightInd w:val="0"/>
        <w:snapToGrid w:val="0"/>
        <w:spacing w:line="400" w:lineRule="exact"/>
        <w:ind w:firstLineChars="200" w:firstLine="420"/>
        <w:rPr>
          <w:szCs w:val="21"/>
          <w:highlight w:val="green"/>
        </w:rPr>
      </w:pPr>
      <w:r w:rsidRPr="00C41ECD">
        <w:rPr>
          <w:rFonts w:hint="eastAsia"/>
          <w:szCs w:val="21"/>
        </w:rPr>
        <w:t>2019</w:t>
      </w:r>
      <w:r w:rsidRPr="00C41ECD">
        <w:rPr>
          <w:rFonts w:hint="eastAsia"/>
          <w:szCs w:val="21"/>
        </w:rPr>
        <w:t>年，</w:t>
      </w:r>
      <w:r w:rsidR="00457390">
        <w:rPr>
          <w:rFonts w:hint="eastAsia"/>
          <w:szCs w:val="21"/>
        </w:rPr>
        <w:t>全年全市有</w:t>
      </w:r>
      <w:r w:rsidR="00457390" w:rsidRPr="00D56DDC">
        <w:rPr>
          <w:rFonts w:hint="eastAsia"/>
          <w:color w:val="000000" w:themeColor="text1"/>
          <w:szCs w:val="21"/>
        </w:rPr>
        <w:t>30</w:t>
      </w:r>
      <w:r w:rsidR="00457390" w:rsidRPr="00D56DDC">
        <w:rPr>
          <w:rFonts w:hint="eastAsia"/>
          <w:color w:val="000000" w:themeColor="text1"/>
          <w:szCs w:val="21"/>
        </w:rPr>
        <w:t>家企业申报高新技术企业，均获得通过。年末全市高新技术企业</w:t>
      </w:r>
      <w:r w:rsidR="00457390" w:rsidRPr="00D56DDC">
        <w:rPr>
          <w:rFonts w:hint="eastAsia"/>
          <w:color w:val="000000" w:themeColor="text1"/>
          <w:szCs w:val="21"/>
        </w:rPr>
        <w:t>59</w:t>
      </w:r>
      <w:r w:rsidR="00457390" w:rsidRPr="00D56DDC">
        <w:rPr>
          <w:rFonts w:hint="eastAsia"/>
          <w:color w:val="000000" w:themeColor="text1"/>
          <w:szCs w:val="21"/>
        </w:rPr>
        <w:t>家，同比增长</w:t>
      </w:r>
      <w:r w:rsidR="00457390" w:rsidRPr="00D56DDC">
        <w:rPr>
          <w:rFonts w:hint="eastAsia"/>
          <w:color w:val="000000" w:themeColor="text1"/>
          <w:szCs w:val="21"/>
        </w:rPr>
        <w:t>38%</w:t>
      </w:r>
      <w:r w:rsidR="00457390" w:rsidRPr="00D56DDC">
        <w:rPr>
          <w:rFonts w:hint="eastAsia"/>
          <w:color w:val="000000" w:themeColor="text1"/>
          <w:szCs w:val="21"/>
        </w:rPr>
        <w:t>，我市</w:t>
      </w:r>
      <w:proofErr w:type="gramStart"/>
      <w:r w:rsidR="00457390" w:rsidRPr="00D56DDC">
        <w:rPr>
          <w:rFonts w:hint="eastAsia"/>
          <w:color w:val="000000" w:themeColor="text1"/>
          <w:szCs w:val="21"/>
        </w:rPr>
        <w:t>高企数在</w:t>
      </w:r>
      <w:proofErr w:type="gramEnd"/>
      <w:r w:rsidR="00457390" w:rsidRPr="00D56DDC">
        <w:rPr>
          <w:rFonts w:hint="eastAsia"/>
          <w:color w:val="000000" w:themeColor="text1"/>
          <w:szCs w:val="21"/>
        </w:rPr>
        <w:t>全疆占比</w:t>
      </w:r>
      <w:r w:rsidR="00457390" w:rsidRPr="00D56DDC">
        <w:rPr>
          <w:rFonts w:hint="eastAsia"/>
          <w:color w:val="000000" w:themeColor="text1"/>
          <w:szCs w:val="21"/>
        </w:rPr>
        <w:t>8.9%</w:t>
      </w:r>
      <w:r w:rsidR="00457390" w:rsidRPr="00D56DDC">
        <w:rPr>
          <w:rFonts w:hint="eastAsia"/>
          <w:color w:val="000000" w:themeColor="text1"/>
          <w:szCs w:val="21"/>
        </w:rPr>
        <w:t>。</w:t>
      </w:r>
      <w:r w:rsidRPr="00D56DDC">
        <w:rPr>
          <w:rFonts w:hint="eastAsia"/>
          <w:color w:val="000000" w:themeColor="text1"/>
          <w:szCs w:val="21"/>
        </w:rPr>
        <w:t>全年申请专利</w:t>
      </w:r>
      <w:r w:rsidRPr="00D56DDC">
        <w:rPr>
          <w:rFonts w:hint="eastAsia"/>
          <w:color w:val="000000" w:themeColor="text1"/>
          <w:szCs w:val="21"/>
        </w:rPr>
        <w:t>895</w:t>
      </w:r>
      <w:r w:rsidRPr="00D56DDC">
        <w:rPr>
          <w:rFonts w:hint="eastAsia"/>
          <w:color w:val="000000" w:themeColor="text1"/>
          <w:szCs w:val="21"/>
        </w:rPr>
        <w:t>件，其中，发明专利</w:t>
      </w:r>
      <w:r w:rsidRPr="00D56DDC">
        <w:rPr>
          <w:rFonts w:hint="eastAsia"/>
          <w:color w:val="000000" w:themeColor="text1"/>
          <w:szCs w:val="21"/>
        </w:rPr>
        <w:t>173</w:t>
      </w:r>
      <w:r w:rsidRPr="00D56DDC">
        <w:rPr>
          <w:rFonts w:hint="eastAsia"/>
          <w:color w:val="000000" w:themeColor="text1"/>
          <w:szCs w:val="21"/>
        </w:rPr>
        <w:t>件；授权专利</w:t>
      </w:r>
      <w:r w:rsidRPr="00D56DDC">
        <w:rPr>
          <w:rFonts w:hint="eastAsia"/>
          <w:color w:val="000000" w:themeColor="text1"/>
          <w:szCs w:val="21"/>
        </w:rPr>
        <w:t>566</w:t>
      </w:r>
      <w:r w:rsidRPr="00D56DDC">
        <w:rPr>
          <w:rFonts w:hint="eastAsia"/>
          <w:color w:val="000000" w:themeColor="text1"/>
          <w:szCs w:val="21"/>
        </w:rPr>
        <w:t>件，其中，发明专利</w:t>
      </w:r>
      <w:r w:rsidRPr="00D56DDC">
        <w:rPr>
          <w:rFonts w:hint="eastAsia"/>
          <w:color w:val="000000" w:themeColor="text1"/>
          <w:szCs w:val="21"/>
        </w:rPr>
        <w:t>57</w:t>
      </w:r>
      <w:r w:rsidRPr="00D56DDC">
        <w:rPr>
          <w:rFonts w:hint="eastAsia"/>
          <w:color w:val="000000" w:themeColor="text1"/>
          <w:szCs w:val="21"/>
        </w:rPr>
        <w:t>件。</w:t>
      </w:r>
      <w:r w:rsidR="00834A4C" w:rsidRPr="00D56DDC">
        <w:rPr>
          <w:rFonts w:hint="eastAsia"/>
          <w:color w:val="000000" w:themeColor="text1"/>
          <w:szCs w:val="21"/>
        </w:rPr>
        <w:t>全年申请商标</w:t>
      </w:r>
      <w:r w:rsidR="00834A4C" w:rsidRPr="00D56DDC">
        <w:rPr>
          <w:rFonts w:hint="eastAsia"/>
          <w:color w:val="000000" w:themeColor="text1"/>
          <w:szCs w:val="21"/>
        </w:rPr>
        <w:t>965</w:t>
      </w:r>
      <w:r w:rsidR="00834A4C" w:rsidRPr="00D56DDC">
        <w:rPr>
          <w:rFonts w:hint="eastAsia"/>
          <w:color w:val="000000" w:themeColor="text1"/>
          <w:szCs w:val="21"/>
        </w:rPr>
        <w:t>件，注</w:t>
      </w:r>
      <w:r w:rsidR="00834A4C" w:rsidRPr="00834A4C">
        <w:rPr>
          <w:rFonts w:hint="eastAsia"/>
          <w:szCs w:val="21"/>
        </w:rPr>
        <w:t>册</w:t>
      </w:r>
      <w:r w:rsidR="00834A4C" w:rsidRPr="00834A4C">
        <w:rPr>
          <w:rFonts w:hint="eastAsia"/>
          <w:szCs w:val="21"/>
        </w:rPr>
        <w:t>857</w:t>
      </w:r>
      <w:r w:rsidR="00834A4C" w:rsidRPr="00834A4C">
        <w:rPr>
          <w:rFonts w:hint="eastAsia"/>
          <w:szCs w:val="21"/>
        </w:rPr>
        <w:t>件，目前拥有有效注册商标</w:t>
      </w:r>
      <w:r w:rsidR="00834A4C" w:rsidRPr="00834A4C">
        <w:rPr>
          <w:rFonts w:hint="eastAsia"/>
          <w:szCs w:val="21"/>
        </w:rPr>
        <w:t>3234</w:t>
      </w:r>
      <w:r w:rsidR="00834A4C" w:rsidRPr="00834A4C">
        <w:rPr>
          <w:rFonts w:hint="eastAsia"/>
          <w:szCs w:val="21"/>
        </w:rPr>
        <w:t>件。</w:t>
      </w:r>
    </w:p>
    <w:p w:rsidR="005E7290" w:rsidRPr="00C41ECD" w:rsidRDefault="005E7290" w:rsidP="00AF2873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eastAsia="方正黑体简体"/>
          <w:sz w:val="24"/>
        </w:rPr>
      </w:pPr>
      <w:r w:rsidRPr="00C41ECD">
        <w:rPr>
          <w:rFonts w:eastAsia="方正黑体简体" w:hint="eastAsia"/>
          <w:sz w:val="24"/>
        </w:rPr>
        <w:t>九、文化、卫生和体育</w:t>
      </w:r>
    </w:p>
    <w:p w:rsidR="005E7290" w:rsidRPr="00C41ECD" w:rsidRDefault="005E7290" w:rsidP="005E7290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C41ECD">
        <w:rPr>
          <w:rFonts w:hint="eastAsia"/>
          <w:szCs w:val="21"/>
        </w:rPr>
        <w:t>年末</w:t>
      </w:r>
      <w:r w:rsidR="00724E1C">
        <w:rPr>
          <w:rFonts w:hint="eastAsia"/>
          <w:snapToGrid w:val="0"/>
          <w:kern w:val="0"/>
          <w:szCs w:val="21"/>
        </w:rPr>
        <w:t>全市</w:t>
      </w:r>
      <w:r w:rsidRPr="00C41ECD">
        <w:rPr>
          <w:rFonts w:hint="eastAsia"/>
          <w:szCs w:val="21"/>
        </w:rPr>
        <w:t>拥有市级文化馆、展览馆、图书馆各</w:t>
      </w:r>
      <w:r w:rsidRPr="00C41ECD">
        <w:rPr>
          <w:rFonts w:hint="eastAsia"/>
          <w:szCs w:val="21"/>
        </w:rPr>
        <w:t>1</w:t>
      </w:r>
      <w:r w:rsidRPr="00C41ECD">
        <w:rPr>
          <w:rFonts w:hint="eastAsia"/>
          <w:szCs w:val="21"/>
        </w:rPr>
        <w:t>座，市歌舞团</w:t>
      </w:r>
      <w:r w:rsidRPr="00C41ECD">
        <w:rPr>
          <w:rFonts w:hint="eastAsia"/>
          <w:szCs w:val="21"/>
        </w:rPr>
        <w:t>1</w:t>
      </w:r>
      <w:r w:rsidRPr="00C41ECD">
        <w:rPr>
          <w:rFonts w:hint="eastAsia"/>
          <w:szCs w:val="21"/>
        </w:rPr>
        <w:t>家，广播电台、电视台各</w:t>
      </w:r>
      <w:r w:rsidRPr="00C41ECD">
        <w:rPr>
          <w:rFonts w:hint="eastAsia"/>
          <w:szCs w:val="21"/>
        </w:rPr>
        <w:t>1</w:t>
      </w:r>
      <w:r w:rsidRPr="00C41ECD">
        <w:rPr>
          <w:rFonts w:hint="eastAsia"/>
          <w:szCs w:val="21"/>
        </w:rPr>
        <w:t>座，中短波广播发射和转播台</w:t>
      </w:r>
      <w:r w:rsidRPr="00C41ECD">
        <w:rPr>
          <w:rFonts w:hint="eastAsia"/>
          <w:szCs w:val="21"/>
        </w:rPr>
        <w:t>1</w:t>
      </w:r>
      <w:r w:rsidRPr="00C41ECD">
        <w:rPr>
          <w:rFonts w:hint="eastAsia"/>
          <w:szCs w:val="21"/>
        </w:rPr>
        <w:t>座、调频发射台和转播台</w:t>
      </w:r>
      <w:r w:rsidRPr="00C41ECD">
        <w:rPr>
          <w:rFonts w:hint="eastAsia"/>
          <w:szCs w:val="21"/>
        </w:rPr>
        <w:t>1</w:t>
      </w:r>
      <w:r w:rsidRPr="00C41ECD">
        <w:rPr>
          <w:rFonts w:hint="eastAsia"/>
          <w:szCs w:val="21"/>
        </w:rPr>
        <w:t>座，广播人口覆盖率</w:t>
      </w:r>
      <w:r w:rsidRPr="00C41ECD">
        <w:rPr>
          <w:rFonts w:hint="eastAsia"/>
          <w:szCs w:val="21"/>
        </w:rPr>
        <w:t>99%</w:t>
      </w:r>
      <w:r w:rsidRPr="00C41ECD">
        <w:rPr>
          <w:rFonts w:hint="eastAsia"/>
          <w:szCs w:val="21"/>
        </w:rPr>
        <w:t>，电视人口覆盖率</w:t>
      </w:r>
      <w:r w:rsidRPr="00C41ECD">
        <w:rPr>
          <w:rFonts w:hint="eastAsia"/>
          <w:szCs w:val="21"/>
        </w:rPr>
        <w:t>99%</w:t>
      </w:r>
      <w:r w:rsidRPr="00C41ECD">
        <w:rPr>
          <w:rFonts w:hint="eastAsia"/>
          <w:szCs w:val="21"/>
        </w:rPr>
        <w:t>。市图书馆全年接待读者</w:t>
      </w:r>
      <w:r w:rsidRPr="00C41ECD">
        <w:rPr>
          <w:rFonts w:hint="eastAsia"/>
          <w:szCs w:val="21"/>
        </w:rPr>
        <w:t>22.05</w:t>
      </w:r>
      <w:r w:rsidRPr="00C41ECD">
        <w:rPr>
          <w:rFonts w:hint="eastAsia"/>
          <w:szCs w:val="21"/>
        </w:rPr>
        <w:t>万人次，借阅书刊</w:t>
      </w:r>
      <w:r w:rsidRPr="00C41ECD">
        <w:rPr>
          <w:rFonts w:hint="eastAsia"/>
          <w:szCs w:val="21"/>
        </w:rPr>
        <w:t>23.16</w:t>
      </w:r>
      <w:r w:rsidRPr="00C41ECD">
        <w:rPr>
          <w:rFonts w:hint="eastAsia"/>
          <w:szCs w:val="21"/>
        </w:rPr>
        <w:t>万册次，办理借阅证</w:t>
      </w:r>
      <w:r w:rsidRPr="00C41ECD">
        <w:rPr>
          <w:rFonts w:hint="eastAsia"/>
          <w:szCs w:val="21"/>
        </w:rPr>
        <w:t>2662</w:t>
      </w:r>
      <w:r w:rsidRPr="00C41ECD">
        <w:rPr>
          <w:rFonts w:hint="eastAsia"/>
          <w:szCs w:val="21"/>
        </w:rPr>
        <w:t>个，累计办理借阅证</w:t>
      </w:r>
      <w:r w:rsidRPr="00C41ECD">
        <w:rPr>
          <w:rFonts w:hint="eastAsia"/>
          <w:szCs w:val="21"/>
        </w:rPr>
        <w:t>66799</w:t>
      </w:r>
      <w:r w:rsidRPr="00C41ECD">
        <w:rPr>
          <w:rFonts w:hint="eastAsia"/>
          <w:szCs w:val="21"/>
        </w:rPr>
        <w:t>个。邮政局全年订阅报纸</w:t>
      </w:r>
      <w:r w:rsidRPr="00C41ECD">
        <w:rPr>
          <w:rFonts w:hint="eastAsia"/>
          <w:szCs w:val="21"/>
        </w:rPr>
        <w:t>1684.86</w:t>
      </w:r>
      <w:r w:rsidRPr="00C41ECD">
        <w:rPr>
          <w:rFonts w:hint="eastAsia"/>
          <w:szCs w:val="21"/>
        </w:rPr>
        <w:t>万份、杂志</w:t>
      </w:r>
      <w:r w:rsidRPr="00C41ECD">
        <w:rPr>
          <w:rFonts w:hint="eastAsia"/>
          <w:szCs w:val="21"/>
        </w:rPr>
        <w:t>59.91</w:t>
      </w:r>
      <w:r w:rsidRPr="00C41ECD">
        <w:rPr>
          <w:rFonts w:hint="eastAsia"/>
          <w:szCs w:val="21"/>
        </w:rPr>
        <w:t>万册。</w:t>
      </w:r>
      <w:r w:rsidRPr="00C41ECD">
        <w:rPr>
          <w:rFonts w:hint="eastAsia"/>
          <w:szCs w:val="21"/>
        </w:rPr>
        <w:t xml:space="preserve"> </w:t>
      </w:r>
    </w:p>
    <w:p w:rsidR="00A7578B" w:rsidRPr="00A7578B" w:rsidRDefault="00A7578B" w:rsidP="00AF2873">
      <w:pPr>
        <w:adjustRightInd w:val="0"/>
        <w:snapToGrid w:val="0"/>
        <w:spacing w:beforeLines="50" w:before="156" w:afterLines="50" w:after="156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年末全市共有卫生机构（不含兵团）</w:t>
      </w:r>
      <w:r w:rsidRPr="00A7578B">
        <w:rPr>
          <w:rFonts w:hint="eastAsia"/>
          <w:szCs w:val="21"/>
        </w:rPr>
        <w:t>124</w:t>
      </w:r>
      <w:r w:rsidRPr="00A7578B">
        <w:rPr>
          <w:rFonts w:hint="eastAsia"/>
          <w:szCs w:val="21"/>
        </w:rPr>
        <w:t>个，拥有编制床位</w:t>
      </w:r>
      <w:r w:rsidRPr="00A7578B">
        <w:rPr>
          <w:rFonts w:hint="eastAsia"/>
          <w:szCs w:val="21"/>
        </w:rPr>
        <w:t>1779</w:t>
      </w:r>
      <w:r w:rsidRPr="00A7578B">
        <w:rPr>
          <w:rFonts w:hint="eastAsia"/>
          <w:szCs w:val="21"/>
        </w:rPr>
        <w:t>张，卫生技术人员</w:t>
      </w:r>
      <w:r w:rsidRPr="00A7578B">
        <w:rPr>
          <w:rFonts w:hint="eastAsia"/>
          <w:szCs w:val="21"/>
        </w:rPr>
        <w:t>3607</w:t>
      </w:r>
      <w:r w:rsidRPr="00A7578B">
        <w:rPr>
          <w:rFonts w:hint="eastAsia"/>
          <w:szCs w:val="21"/>
        </w:rPr>
        <w:t>人。其中，医</w:t>
      </w:r>
      <w:r w:rsidRPr="00A7578B">
        <w:rPr>
          <w:rFonts w:hint="eastAsia"/>
          <w:szCs w:val="21"/>
        </w:rPr>
        <w:lastRenderedPageBreak/>
        <w:t>院</w:t>
      </w:r>
      <w:r w:rsidRPr="00A7578B">
        <w:rPr>
          <w:rFonts w:hint="eastAsia"/>
          <w:szCs w:val="21"/>
        </w:rPr>
        <w:t>14</w:t>
      </w:r>
      <w:r w:rsidRPr="00A7578B">
        <w:rPr>
          <w:rFonts w:hint="eastAsia"/>
          <w:szCs w:val="21"/>
        </w:rPr>
        <w:t>个，编制床位</w:t>
      </w:r>
      <w:r w:rsidRPr="00A7578B">
        <w:rPr>
          <w:rFonts w:hint="eastAsia"/>
          <w:szCs w:val="21"/>
        </w:rPr>
        <w:t>1730</w:t>
      </w:r>
      <w:r w:rsidRPr="00A7578B">
        <w:rPr>
          <w:rFonts w:hint="eastAsia"/>
          <w:szCs w:val="21"/>
        </w:rPr>
        <w:t>张；社区卫生服务中心（站）</w:t>
      </w:r>
      <w:r w:rsidRPr="00A7578B">
        <w:rPr>
          <w:rFonts w:hint="eastAsia"/>
          <w:szCs w:val="21"/>
        </w:rPr>
        <w:t>31</w:t>
      </w:r>
      <w:r w:rsidRPr="00A7578B">
        <w:rPr>
          <w:rFonts w:hint="eastAsia"/>
          <w:szCs w:val="21"/>
        </w:rPr>
        <w:t>个；疾病预防控制中心</w:t>
      </w:r>
      <w:r w:rsidRPr="00A7578B">
        <w:rPr>
          <w:rFonts w:hint="eastAsia"/>
          <w:szCs w:val="21"/>
        </w:rPr>
        <w:t>5</w:t>
      </w:r>
      <w:r w:rsidRPr="00A7578B">
        <w:rPr>
          <w:rFonts w:hint="eastAsia"/>
          <w:szCs w:val="21"/>
        </w:rPr>
        <w:t>个。乡镇卫生院</w:t>
      </w:r>
      <w:r w:rsidRPr="00A7578B">
        <w:rPr>
          <w:rFonts w:hint="eastAsia"/>
          <w:szCs w:val="21"/>
        </w:rPr>
        <w:t>2</w:t>
      </w:r>
      <w:r w:rsidRPr="00A7578B">
        <w:rPr>
          <w:rFonts w:hint="eastAsia"/>
          <w:szCs w:val="21"/>
        </w:rPr>
        <w:t>个，卫生技术人员</w:t>
      </w:r>
      <w:r w:rsidRPr="00A7578B">
        <w:rPr>
          <w:rFonts w:hint="eastAsia"/>
          <w:szCs w:val="21"/>
        </w:rPr>
        <w:t>12</w:t>
      </w:r>
      <w:r w:rsidRPr="00A7578B">
        <w:rPr>
          <w:rFonts w:hint="eastAsia"/>
          <w:szCs w:val="21"/>
        </w:rPr>
        <w:t>人。</w:t>
      </w:r>
    </w:p>
    <w:p w:rsidR="005E7290" w:rsidRPr="00C41ECD" w:rsidRDefault="005E7290" w:rsidP="00AF2873">
      <w:pPr>
        <w:adjustRightInd w:val="0"/>
        <w:snapToGrid w:val="0"/>
        <w:spacing w:beforeLines="50" w:before="156" w:afterLines="50" w:after="156" w:line="380" w:lineRule="exact"/>
        <w:ind w:firstLineChars="200" w:firstLine="420"/>
        <w:rPr>
          <w:szCs w:val="21"/>
        </w:rPr>
      </w:pPr>
      <w:r w:rsidRPr="00A7578B">
        <w:rPr>
          <w:rFonts w:hint="eastAsia"/>
          <w:szCs w:val="21"/>
        </w:rPr>
        <w:t>年末</w:t>
      </w:r>
      <w:r w:rsidR="00724E1C" w:rsidRPr="00A7578B">
        <w:rPr>
          <w:rFonts w:hint="eastAsia"/>
          <w:snapToGrid w:val="0"/>
          <w:kern w:val="0"/>
          <w:szCs w:val="21"/>
        </w:rPr>
        <w:t>全市</w:t>
      </w:r>
      <w:r w:rsidRPr="00A7578B">
        <w:rPr>
          <w:rFonts w:hint="eastAsia"/>
          <w:szCs w:val="21"/>
        </w:rPr>
        <w:t>共有</w:t>
      </w:r>
      <w:r w:rsidRPr="00A7578B">
        <w:rPr>
          <w:rFonts w:hint="eastAsia"/>
          <w:szCs w:val="21"/>
        </w:rPr>
        <w:t>79</w:t>
      </w:r>
      <w:r w:rsidRPr="00A7578B">
        <w:rPr>
          <w:rFonts w:hint="eastAsia"/>
          <w:szCs w:val="21"/>
        </w:rPr>
        <w:t>类体育场地</w:t>
      </w:r>
      <w:r w:rsidRPr="00A7578B">
        <w:rPr>
          <w:rFonts w:hint="eastAsia"/>
          <w:szCs w:val="21"/>
        </w:rPr>
        <w:t>1077</w:t>
      </w:r>
      <w:r w:rsidRPr="00A7578B">
        <w:rPr>
          <w:rFonts w:hint="eastAsia"/>
          <w:szCs w:val="21"/>
        </w:rPr>
        <w:t>个，其中</w:t>
      </w:r>
      <w:r w:rsidRPr="00A7578B">
        <w:rPr>
          <w:rFonts w:hint="eastAsia"/>
          <w:szCs w:val="21"/>
        </w:rPr>
        <w:t>334</w:t>
      </w:r>
      <w:r w:rsidRPr="00A7578B">
        <w:rPr>
          <w:rFonts w:hint="eastAsia"/>
          <w:szCs w:val="21"/>
        </w:rPr>
        <w:t>个室内，</w:t>
      </w:r>
      <w:r w:rsidRPr="00A7578B">
        <w:rPr>
          <w:rFonts w:hint="eastAsia"/>
          <w:szCs w:val="21"/>
        </w:rPr>
        <w:t>395</w:t>
      </w:r>
      <w:r w:rsidRPr="00A7578B">
        <w:rPr>
          <w:rFonts w:hint="eastAsia"/>
          <w:szCs w:val="21"/>
        </w:rPr>
        <w:t>个室外场地，</w:t>
      </w:r>
      <w:r w:rsidRPr="00A7578B">
        <w:rPr>
          <w:rFonts w:hint="eastAsia"/>
          <w:szCs w:val="21"/>
        </w:rPr>
        <w:t>342</w:t>
      </w:r>
      <w:r w:rsidRPr="00A7578B">
        <w:rPr>
          <w:rFonts w:hint="eastAsia"/>
          <w:szCs w:val="21"/>
        </w:rPr>
        <w:t>个全民健身路径，</w:t>
      </w:r>
      <w:r w:rsidRPr="00A7578B">
        <w:rPr>
          <w:rFonts w:hint="eastAsia"/>
          <w:szCs w:val="21"/>
        </w:rPr>
        <w:t>5</w:t>
      </w:r>
      <w:r w:rsidRPr="00A7578B">
        <w:rPr>
          <w:rFonts w:hint="eastAsia"/>
          <w:szCs w:val="21"/>
        </w:rPr>
        <w:t>个城市健身步道，</w:t>
      </w:r>
      <w:r w:rsidRPr="00A7578B">
        <w:rPr>
          <w:rFonts w:hint="eastAsia"/>
          <w:szCs w:val="21"/>
        </w:rPr>
        <w:t>1</w:t>
      </w:r>
      <w:r w:rsidRPr="00A7578B">
        <w:rPr>
          <w:rFonts w:hint="eastAsia"/>
          <w:szCs w:val="21"/>
        </w:rPr>
        <w:t>个户外活动营地；场地面积</w:t>
      </w:r>
      <w:r w:rsidRPr="00A7578B">
        <w:rPr>
          <w:rFonts w:hint="eastAsia"/>
          <w:szCs w:val="21"/>
        </w:rPr>
        <w:t>192.4</w:t>
      </w:r>
      <w:r w:rsidRPr="00A7578B">
        <w:rPr>
          <w:rFonts w:hint="eastAsia"/>
          <w:szCs w:val="21"/>
        </w:rPr>
        <w:t>万平方米，建筑面积</w:t>
      </w:r>
      <w:r w:rsidRPr="00A7578B">
        <w:rPr>
          <w:rFonts w:hint="eastAsia"/>
          <w:szCs w:val="21"/>
        </w:rPr>
        <w:t>43.9</w:t>
      </w:r>
      <w:r w:rsidRPr="00A7578B">
        <w:rPr>
          <w:rFonts w:hint="eastAsia"/>
          <w:szCs w:val="21"/>
        </w:rPr>
        <w:t>万平方米，用地面积</w:t>
      </w:r>
      <w:r w:rsidRPr="00A7578B">
        <w:rPr>
          <w:rFonts w:hint="eastAsia"/>
          <w:szCs w:val="21"/>
        </w:rPr>
        <w:t>246.4</w:t>
      </w:r>
      <w:r w:rsidRPr="00A7578B">
        <w:rPr>
          <w:rFonts w:hint="eastAsia"/>
          <w:szCs w:val="21"/>
        </w:rPr>
        <w:t>万平方米。万人拥有</w:t>
      </w:r>
      <w:r w:rsidRPr="00A7578B">
        <w:rPr>
          <w:rFonts w:hint="eastAsia"/>
          <w:szCs w:val="21"/>
        </w:rPr>
        <w:t>36</w:t>
      </w:r>
      <w:r w:rsidRPr="00A7578B">
        <w:rPr>
          <w:rFonts w:hint="eastAsia"/>
          <w:szCs w:val="21"/>
        </w:rPr>
        <w:t>个体育场地。场馆从业人员</w:t>
      </w:r>
      <w:r w:rsidRPr="00A7578B">
        <w:rPr>
          <w:rFonts w:hint="eastAsia"/>
          <w:szCs w:val="21"/>
        </w:rPr>
        <w:t>1248</w:t>
      </w:r>
      <w:r w:rsidRPr="00A7578B">
        <w:rPr>
          <w:rFonts w:hint="eastAsia"/>
          <w:szCs w:val="21"/>
        </w:rPr>
        <w:t>人。观众席位</w:t>
      </w:r>
      <w:r w:rsidRPr="00A7578B">
        <w:rPr>
          <w:rFonts w:hint="eastAsia"/>
          <w:szCs w:val="21"/>
        </w:rPr>
        <w:t>51334</w:t>
      </w:r>
      <w:r w:rsidRPr="00A7578B">
        <w:rPr>
          <w:rFonts w:hint="eastAsia"/>
          <w:szCs w:val="21"/>
        </w:rPr>
        <w:t>个。人均场地面积</w:t>
      </w:r>
      <w:r w:rsidRPr="00A7578B">
        <w:rPr>
          <w:rFonts w:hint="eastAsia"/>
          <w:szCs w:val="21"/>
        </w:rPr>
        <w:t>6.63</w:t>
      </w:r>
      <w:r w:rsidRPr="00A7578B">
        <w:rPr>
          <w:rFonts w:hint="eastAsia"/>
          <w:szCs w:val="21"/>
        </w:rPr>
        <w:t>平方</w:t>
      </w:r>
      <w:r w:rsidRPr="00C41ECD">
        <w:rPr>
          <w:rFonts w:hint="eastAsia"/>
          <w:szCs w:val="21"/>
        </w:rPr>
        <w:t>米。</w:t>
      </w:r>
    </w:p>
    <w:p w:rsidR="005E7290" w:rsidRPr="00C41ECD" w:rsidRDefault="005E7290" w:rsidP="00AF2873">
      <w:pPr>
        <w:adjustRightInd w:val="0"/>
        <w:snapToGrid w:val="0"/>
        <w:spacing w:beforeLines="50" w:before="156" w:afterLines="50" w:after="156" w:line="380" w:lineRule="exact"/>
        <w:ind w:firstLineChars="200" w:firstLine="420"/>
        <w:rPr>
          <w:szCs w:val="21"/>
        </w:rPr>
      </w:pPr>
      <w:r w:rsidRPr="00C41ECD">
        <w:rPr>
          <w:rFonts w:hint="eastAsia"/>
          <w:szCs w:val="21"/>
        </w:rPr>
        <w:t>全年共参加自治区</w:t>
      </w:r>
      <w:r w:rsidRPr="00C41ECD">
        <w:rPr>
          <w:rFonts w:hint="eastAsia"/>
          <w:szCs w:val="21"/>
        </w:rPr>
        <w:t>18</w:t>
      </w:r>
      <w:r w:rsidRPr="00C41ECD">
        <w:rPr>
          <w:rFonts w:hint="eastAsia"/>
          <w:szCs w:val="21"/>
        </w:rPr>
        <w:t>个项目的年度比赛，参赛运动员</w:t>
      </w:r>
      <w:r w:rsidRPr="00C41ECD">
        <w:rPr>
          <w:rFonts w:hint="eastAsia"/>
          <w:szCs w:val="21"/>
        </w:rPr>
        <w:t>1487</w:t>
      </w:r>
      <w:r w:rsidRPr="00C41ECD">
        <w:rPr>
          <w:rFonts w:hint="eastAsia"/>
          <w:szCs w:val="21"/>
        </w:rPr>
        <w:t>人，共获得金牌</w:t>
      </w:r>
      <w:r w:rsidRPr="00C41ECD">
        <w:rPr>
          <w:rFonts w:hint="eastAsia"/>
          <w:szCs w:val="21"/>
        </w:rPr>
        <w:t xml:space="preserve">109 </w:t>
      </w:r>
      <w:r w:rsidRPr="00C41ECD">
        <w:rPr>
          <w:rFonts w:hint="eastAsia"/>
          <w:szCs w:val="21"/>
        </w:rPr>
        <w:t>枚、银牌</w:t>
      </w:r>
      <w:r w:rsidRPr="00C41ECD">
        <w:rPr>
          <w:rFonts w:hint="eastAsia"/>
          <w:szCs w:val="21"/>
        </w:rPr>
        <w:t>100</w:t>
      </w:r>
      <w:r w:rsidRPr="00C41ECD">
        <w:rPr>
          <w:rFonts w:hint="eastAsia"/>
          <w:szCs w:val="21"/>
        </w:rPr>
        <w:t>枚、铜牌</w:t>
      </w:r>
      <w:r w:rsidRPr="00C41ECD">
        <w:rPr>
          <w:rFonts w:hint="eastAsia"/>
          <w:szCs w:val="21"/>
        </w:rPr>
        <w:t>106</w:t>
      </w:r>
      <w:r w:rsidRPr="00C41ECD">
        <w:rPr>
          <w:rFonts w:hint="eastAsia"/>
          <w:szCs w:val="21"/>
        </w:rPr>
        <w:t>枚、第四名</w:t>
      </w:r>
      <w:r w:rsidRPr="00C41ECD">
        <w:rPr>
          <w:rFonts w:hint="eastAsia"/>
          <w:szCs w:val="21"/>
        </w:rPr>
        <w:t>143</w:t>
      </w:r>
      <w:r w:rsidRPr="00C41ECD">
        <w:rPr>
          <w:rFonts w:hint="eastAsia"/>
          <w:szCs w:val="21"/>
        </w:rPr>
        <w:t>个、第五名</w:t>
      </w:r>
      <w:r w:rsidRPr="00C41ECD">
        <w:rPr>
          <w:rFonts w:hint="eastAsia"/>
          <w:szCs w:val="21"/>
        </w:rPr>
        <w:t>217</w:t>
      </w:r>
      <w:r w:rsidRPr="00C41ECD">
        <w:rPr>
          <w:rFonts w:hint="eastAsia"/>
          <w:szCs w:val="21"/>
        </w:rPr>
        <w:t>个、第六名</w:t>
      </w:r>
      <w:r w:rsidRPr="00C41ECD">
        <w:rPr>
          <w:rFonts w:hint="eastAsia"/>
          <w:szCs w:val="21"/>
        </w:rPr>
        <w:t>19</w:t>
      </w:r>
      <w:r w:rsidRPr="00C41ECD">
        <w:rPr>
          <w:rFonts w:hint="eastAsia"/>
          <w:szCs w:val="21"/>
        </w:rPr>
        <w:t>个、第七名</w:t>
      </w:r>
      <w:r w:rsidRPr="00C41ECD">
        <w:rPr>
          <w:rFonts w:hint="eastAsia"/>
          <w:szCs w:val="21"/>
        </w:rPr>
        <w:t xml:space="preserve"> 20</w:t>
      </w:r>
      <w:r w:rsidRPr="00C41ECD">
        <w:rPr>
          <w:rFonts w:hint="eastAsia"/>
          <w:szCs w:val="21"/>
        </w:rPr>
        <w:t>个、第八名</w:t>
      </w:r>
      <w:r w:rsidRPr="00C41ECD">
        <w:rPr>
          <w:rFonts w:hint="eastAsia"/>
          <w:szCs w:val="21"/>
        </w:rPr>
        <w:t>14</w:t>
      </w:r>
      <w:r w:rsidRPr="00C41ECD">
        <w:rPr>
          <w:rFonts w:hint="eastAsia"/>
          <w:szCs w:val="21"/>
        </w:rPr>
        <w:t>个，有</w:t>
      </w:r>
      <w:r w:rsidRPr="00C41ECD">
        <w:rPr>
          <w:rFonts w:hint="eastAsia"/>
          <w:szCs w:val="21"/>
        </w:rPr>
        <w:t xml:space="preserve"> 5</w:t>
      </w:r>
      <w:r w:rsidRPr="00C41ECD">
        <w:rPr>
          <w:rFonts w:hint="eastAsia"/>
          <w:szCs w:val="21"/>
        </w:rPr>
        <w:t>个代表队获得体育道德风尚运动队，</w:t>
      </w:r>
      <w:r w:rsidRPr="00C41ECD">
        <w:rPr>
          <w:rFonts w:hint="eastAsia"/>
          <w:szCs w:val="21"/>
        </w:rPr>
        <w:t>29</w:t>
      </w:r>
      <w:r w:rsidRPr="00C41ECD">
        <w:rPr>
          <w:rFonts w:hint="eastAsia"/>
          <w:szCs w:val="21"/>
        </w:rPr>
        <w:t>人获得体育道德风尚运动员。</w:t>
      </w:r>
    </w:p>
    <w:p w:rsidR="005E7290" w:rsidRPr="00C41ECD" w:rsidRDefault="005E7290" w:rsidP="005E7290">
      <w:pPr>
        <w:adjustRightInd w:val="0"/>
        <w:snapToGrid w:val="0"/>
        <w:spacing w:line="400" w:lineRule="exact"/>
        <w:ind w:firstLineChars="247" w:firstLine="519"/>
        <w:rPr>
          <w:szCs w:val="21"/>
        </w:rPr>
      </w:pPr>
      <w:r w:rsidRPr="00C41ECD">
        <w:rPr>
          <w:rFonts w:hint="eastAsia"/>
          <w:szCs w:val="21"/>
        </w:rPr>
        <w:t>结合庆祝新中国成立</w:t>
      </w:r>
      <w:r w:rsidRPr="00C41ECD">
        <w:rPr>
          <w:rFonts w:hint="eastAsia"/>
          <w:szCs w:val="21"/>
        </w:rPr>
        <w:t>70</w:t>
      </w:r>
      <w:r w:rsidRPr="00C41ECD">
        <w:rPr>
          <w:rFonts w:hint="eastAsia"/>
          <w:szCs w:val="21"/>
        </w:rPr>
        <w:t>周年及</w:t>
      </w:r>
      <w:r w:rsidRPr="00C41ECD">
        <w:rPr>
          <w:rFonts w:hint="eastAsia"/>
          <w:szCs w:val="21"/>
        </w:rPr>
        <w:t>2019</w:t>
      </w:r>
      <w:r w:rsidRPr="00C41ECD">
        <w:rPr>
          <w:rFonts w:hint="eastAsia"/>
          <w:szCs w:val="21"/>
        </w:rPr>
        <w:t>年全国文明城市创建等主题，成功组织开展元旦春节系列、全民阅读系列、“四个月月”活动、克拉玛依第二十届水节系列、“和群众在一起”群众文化系列、城市广场艺术节、“华美杯”</w:t>
      </w:r>
      <w:r w:rsidRPr="00C41ECD">
        <w:rPr>
          <w:rFonts w:hint="eastAsia"/>
          <w:szCs w:val="21"/>
        </w:rPr>
        <w:t>2019</w:t>
      </w:r>
      <w:r w:rsidRPr="00C41ECD">
        <w:rPr>
          <w:rFonts w:hint="eastAsia"/>
          <w:szCs w:val="21"/>
        </w:rPr>
        <w:t>年中国·新疆体育舞蹈全国公开赛、“美丽中国行”</w:t>
      </w:r>
      <w:r w:rsidRPr="00C41ECD">
        <w:rPr>
          <w:rFonts w:hint="eastAsia"/>
          <w:szCs w:val="21"/>
        </w:rPr>
        <w:t>2019</w:t>
      </w:r>
      <w:r w:rsidRPr="00C41ECD">
        <w:rPr>
          <w:rFonts w:hint="eastAsia"/>
          <w:szCs w:val="21"/>
        </w:rPr>
        <w:t>克拉玛依越野挑战赛、第十一个“全民健身日”系列、《油城往事》公演、“上海戏剧学院大讲堂”系列讲座、“情暖重阳</w:t>
      </w:r>
      <w:r w:rsidRPr="00C41ECD">
        <w:rPr>
          <w:rFonts w:hint="eastAsia"/>
          <w:szCs w:val="21"/>
        </w:rPr>
        <w:t xml:space="preserve"> </w:t>
      </w:r>
      <w:r w:rsidRPr="00C41ECD">
        <w:rPr>
          <w:rFonts w:hint="eastAsia"/>
          <w:szCs w:val="21"/>
        </w:rPr>
        <w:t>银铃风采”系列、迎新年城市精品文化系列等各类群众性文体赛事活动。</w:t>
      </w:r>
    </w:p>
    <w:p w:rsidR="005D4CB7" w:rsidRPr="007A05D6" w:rsidRDefault="005D4CB7" w:rsidP="00AF2873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eastAsia="方正黑体简体"/>
          <w:sz w:val="24"/>
        </w:rPr>
      </w:pPr>
      <w:r w:rsidRPr="007A05D6">
        <w:rPr>
          <w:rFonts w:eastAsia="方正黑体简体" w:hint="eastAsia"/>
          <w:sz w:val="24"/>
        </w:rPr>
        <w:t>十、人民生活</w:t>
      </w:r>
    </w:p>
    <w:p w:rsidR="005D4CB7" w:rsidRPr="00825C32" w:rsidRDefault="00271F53" w:rsidP="001817D6">
      <w:pPr>
        <w:adjustRightInd w:val="0"/>
        <w:snapToGrid w:val="0"/>
        <w:spacing w:line="400" w:lineRule="exact"/>
        <w:ind w:firstLineChars="200" w:firstLine="420"/>
        <w:rPr>
          <w:color w:val="FF0000"/>
          <w:szCs w:val="21"/>
        </w:rPr>
      </w:pPr>
      <w:bookmarkStart w:id="0" w:name="_GoBack"/>
      <w:bookmarkEnd w:id="0"/>
      <w:r w:rsidRPr="00CB28F4">
        <w:rPr>
          <w:rFonts w:hint="eastAsia"/>
          <w:szCs w:val="21"/>
        </w:rPr>
        <w:t>全年全市</w:t>
      </w:r>
      <w:r w:rsidR="005D4CB7" w:rsidRPr="00CB28F4">
        <w:rPr>
          <w:rFonts w:hint="eastAsia"/>
          <w:szCs w:val="21"/>
        </w:rPr>
        <w:t>城镇居民人均可支配收入</w:t>
      </w:r>
      <w:r w:rsidR="00E77289">
        <w:rPr>
          <w:rFonts w:hint="eastAsia"/>
          <w:szCs w:val="21"/>
        </w:rPr>
        <w:t>45658</w:t>
      </w:r>
      <w:r w:rsidR="005D4CB7" w:rsidRPr="00CB28F4">
        <w:rPr>
          <w:rFonts w:hint="eastAsia"/>
          <w:szCs w:val="21"/>
        </w:rPr>
        <w:t>元</w:t>
      </w:r>
      <w:r w:rsidR="00825C32" w:rsidRPr="00CB28F4">
        <w:rPr>
          <w:rFonts w:hint="eastAsia"/>
          <w:szCs w:val="21"/>
        </w:rPr>
        <w:t>，增长</w:t>
      </w:r>
      <w:r w:rsidR="00E77289">
        <w:rPr>
          <w:rFonts w:hint="eastAsia"/>
          <w:szCs w:val="21"/>
        </w:rPr>
        <w:t>9.1</w:t>
      </w:r>
      <w:r w:rsidR="00825C32" w:rsidRPr="00CB28F4">
        <w:rPr>
          <w:rFonts w:hint="eastAsia"/>
          <w:szCs w:val="21"/>
        </w:rPr>
        <w:t>%</w:t>
      </w:r>
      <w:r w:rsidR="005D4CB7" w:rsidRPr="00CB28F4">
        <w:rPr>
          <w:rFonts w:hint="eastAsia"/>
          <w:szCs w:val="21"/>
        </w:rPr>
        <w:t>；</w:t>
      </w:r>
      <w:r w:rsidR="005D4CB7" w:rsidRPr="00732720">
        <w:rPr>
          <w:rFonts w:hint="eastAsia"/>
          <w:szCs w:val="21"/>
        </w:rPr>
        <w:t>农牧民人均纯收入</w:t>
      </w:r>
      <w:r w:rsidR="00AF1FA9" w:rsidRPr="00732720">
        <w:rPr>
          <w:rFonts w:hint="eastAsia"/>
          <w:szCs w:val="21"/>
        </w:rPr>
        <w:t>27996</w:t>
      </w:r>
      <w:r w:rsidR="005D4CB7" w:rsidRPr="00732720">
        <w:rPr>
          <w:rFonts w:hint="eastAsia"/>
          <w:szCs w:val="21"/>
        </w:rPr>
        <w:t>元</w:t>
      </w:r>
      <w:r w:rsidR="00825C32" w:rsidRPr="00732720">
        <w:rPr>
          <w:rFonts w:hint="eastAsia"/>
          <w:szCs w:val="21"/>
        </w:rPr>
        <w:t>，增长</w:t>
      </w:r>
      <w:r w:rsidR="00AF1FA9" w:rsidRPr="00732720">
        <w:rPr>
          <w:rFonts w:hint="eastAsia"/>
          <w:szCs w:val="21"/>
        </w:rPr>
        <w:t>13.</w:t>
      </w:r>
      <w:r w:rsidR="00825C32" w:rsidRPr="00732720">
        <w:rPr>
          <w:rFonts w:hint="eastAsia"/>
          <w:szCs w:val="21"/>
        </w:rPr>
        <w:t>8%</w:t>
      </w:r>
      <w:r w:rsidR="005D4CB7" w:rsidRPr="00732720">
        <w:rPr>
          <w:rFonts w:hint="eastAsia"/>
          <w:szCs w:val="21"/>
        </w:rPr>
        <w:t>。</w:t>
      </w:r>
      <w:r w:rsidR="005D4CB7" w:rsidRPr="00CB28F4">
        <w:rPr>
          <w:rFonts w:eastAsia="方正宋黑简体" w:hint="eastAsia"/>
          <w:kern w:val="21"/>
          <w:sz w:val="24"/>
        </w:rPr>
        <w:t xml:space="preserve"> </w:t>
      </w:r>
      <w:r w:rsidR="005D4CB7" w:rsidRPr="00825C32">
        <w:rPr>
          <w:rFonts w:eastAsia="方正宋黑简体" w:hint="eastAsia"/>
          <w:color w:val="FF0000"/>
          <w:kern w:val="21"/>
          <w:sz w:val="24"/>
        </w:rPr>
        <w:t xml:space="preserve">           </w:t>
      </w:r>
    </w:p>
    <w:p w:rsidR="005D4CB7" w:rsidRPr="007A05D6" w:rsidRDefault="005D4CB7" w:rsidP="005D4CB7">
      <w:pPr>
        <w:adjustRightInd w:val="0"/>
        <w:snapToGrid w:val="0"/>
        <w:spacing w:line="380" w:lineRule="exact"/>
        <w:ind w:firstLineChars="200" w:firstLine="480"/>
        <w:jc w:val="center"/>
        <w:rPr>
          <w:kern w:val="21"/>
          <w:szCs w:val="21"/>
        </w:rPr>
      </w:pPr>
      <w:r w:rsidRPr="007A05D6">
        <w:rPr>
          <w:rFonts w:eastAsia="方正宋黑简体" w:hint="eastAsia"/>
          <w:kern w:val="21"/>
          <w:sz w:val="24"/>
        </w:rPr>
        <w:t xml:space="preserve">     </w:t>
      </w:r>
      <w:r w:rsidRPr="007A05D6">
        <w:rPr>
          <w:rFonts w:eastAsia="方正宋黑简体"/>
          <w:kern w:val="21"/>
          <w:sz w:val="24"/>
        </w:rPr>
        <w:t>201</w:t>
      </w:r>
      <w:r w:rsidR="00E77289">
        <w:rPr>
          <w:rFonts w:eastAsia="方正宋黑简体" w:hint="eastAsia"/>
          <w:kern w:val="21"/>
          <w:sz w:val="24"/>
        </w:rPr>
        <w:t>9</w:t>
      </w:r>
      <w:r w:rsidRPr="007A05D6">
        <w:rPr>
          <w:rFonts w:eastAsia="方正宋黑简体" w:hint="eastAsia"/>
          <w:kern w:val="21"/>
          <w:sz w:val="24"/>
        </w:rPr>
        <w:t>年城镇居民人均消费性支出额</w:t>
      </w:r>
      <w:r w:rsidRPr="007A05D6">
        <w:rPr>
          <w:rFonts w:eastAsia="方正宋黑简体" w:hint="eastAsia"/>
          <w:kern w:val="21"/>
          <w:sz w:val="24"/>
        </w:rPr>
        <w:t xml:space="preserve">              </w:t>
      </w:r>
      <w:r w:rsidRPr="007A05D6">
        <w:rPr>
          <w:rFonts w:hint="eastAsia"/>
          <w:kern w:val="21"/>
          <w:szCs w:val="21"/>
        </w:rPr>
        <w:t>单位：元</w:t>
      </w:r>
    </w:p>
    <w:tbl>
      <w:tblPr>
        <w:tblW w:w="9686" w:type="dxa"/>
        <w:jc w:val="center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3117"/>
        <w:gridCol w:w="1726"/>
        <w:gridCol w:w="3280"/>
        <w:gridCol w:w="1563"/>
      </w:tblGrid>
      <w:tr w:rsidR="005D4CB7" w:rsidRPr="007A05D6" w:rsidTr="002B4D38">
        <w:trPr>
          <w:trHeight w:hRule="exact" w:val="567"/>
          <w:jc w:val="center"/>
        </w:trPr>
        <w:tc>
          <w:tcPr>
            <w:tcW w:w="31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4CB7" w:rsidRPr="007A05D6" w:rsidRDefault="005D4CB7" w:rsidP="00166566">
            <w:pPr>
              <w:adjustRightInd w:val="0"/>
              <w:snapToGrid w:val="0"/>
              <w:jc w:val="center"/>
              <w:rPr>
                <w:szCs w:val="21"/>
              </w:rPr>
            </w:pPr>
            <w:r w:rsidRPr="007A05D6">
              <w:rPr>
                <w:rFonts w:hint="eastAsia"/>
                <w:szCs w:val="21"/>
              </w:rPr>
              <w:t>主要指标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4CB7" w:rsidRPr="007A05D6" w:rsidRDefault="005D4CB7" w:rsidP="00166566">
            <w:pPr>
              <w:adjustRightInd w:val="0"/>
              <w:snapToGrid w:val="0"/>
              <w:jc w:val="center"/>
              <w:rPr>
                <w:szCs w:val="21"/>
              </w:rPr>
            </w:pPr>
            <w:r w:rsidRPr="007A05D6">
              <w:rPr>
                <w:rFonts w:hint="eastAsia"/>
                <w:szCs w:val="21"/>
              </w:rPr>
              <w:t>支出额</w:t>
            </w:r>
          </w:p>
        </w:tc>
        <w:tc>
          <w:tcPr>
            <w:tcW w:w="328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D4CB7" w:rsidRPr="007A05D6" w:rsidRDefault="005D4CB7" w:rsidP="00166566">
            <w:pPr>
              <w:adjustRightInd w:val="0"/>
              <w:snapToGrid w:val="0"/>
              <w:jc w:val="center"/>
              <w:rPr>
                <w:szCs w:val="21"/>
              </w:rPr>
            </w:pPr>
            <w:r w:rsidRPr="007A05D6">
              <w:rPr>
                <w:rFonts w:hint="eastAsia"/>
                <w:szCs w:val="21"/>
              </w:rPr>
              <w:t>主要指标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D4CB7" w:rsidRPr="007A05D6" w:rsidRDefault="005D4CB7" w:rsidP="00166566">
            <w:pPr>
              <w:adjustRightInd w:val="0"/>
              <w:snapToGrid w:val="0"/>
              <w:jc w:val="center"/>
              <w:rPr>
                <w:szCs w:val="21"/>
              </w:rPr>
            </w:pPr>
            <w:r w:rsidRPr="007A05D6">
              <w:rPr>
                <w:rFonts w:hint="eastAsia"/>
                <w:szCs w:val="21"/>
              </w:rPr>
              <w:t>支出额</w:t>
            </w:r>
          </w:p>
        </w:tc>
      </w:tr>
      <w:tr w:rsidR="00E77289" w:rsidRPr="007A05D6" w:rsidTr="001B06F2">
        <w:trPr>
          <w:trHeight w:hRule="exact" w:val="340"/>
          <w:jc w:val="center"/>
        </w:trPr>
        <w:tc>
          <w:tcPr>
            <w:tcW w:w="3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CC2F87">
            <w:pPr>
              <w:adjustRightInd w:val="0"/>
              <w:snapToGrid w:val="0"/>
              <w:ind w:leftChars="50" w:left="105"/>
              <w:rPr>
                <w:szCs w:val="21"/>
              </w:rPr>
            </w:pPr>
            <w:r w:rsidRPr="007A05D6">
              <w:rPr>
                <w:szCs w:val="21"/>
              </w:rPr>
              <w:t>人均消费性支出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E77289" w:rsidRDefault="00E77289" w:rsidP="00E77289">
            <w:pPr>
              <w:adjustRightInd w:val="0"/>
              <w:snapToGrid w:val="0"/>
              <w:spacing w:line="260" w:lineRule="exact"/>
              <w:ind w:rightChars="200" w:right="420"/>
              <w:jc w:val="right"/>
              <w:rPr>
                <w:sz w:val="22"/>
                <w:szCs w:val="22"/>
              </w:rPr>
            </w:pPr>
            <w:r w:rsidRPr="00E77289">
              <w:rPr>
                <w:rFonts w:hint="eastAsia"/>
                <w:sz w:val="22"/>
                <w:szCs w:val="22"/>
              </w:rPr>
              <w:t xml:space="preserve">35470 </w:t>
            </w:r>
          </w:p>
        </w:tc>
        <w:tc>
          <w:tcPr>
            <w:tcW w:w="3280" w:type="dxa"/>
            <w:tcBorders>
              <w:top w:val="single" w:sz="8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E77289" w:rsidRPr="007A05D6" w:rsidRDefault="00E77289" w:rsidP="00CC2F87">
            <w:pPr>
              <w:widowControl/>
              <w:adjustRightInd w:val="0"/>
              <w:snapToGrid w:val="0"/>
              <w:ind w:firstLineChars="150" w:firstLine="315"/>
              <w:jc w:val="left"/>
              <w:rPr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77289" w:rsidRPr="00D079F2" w:rsidRDefault="00E77289" w:rsidP="00D6725D">
            <w:pPr>
              <w:adjustRightInd w:val="0"/>
              <w:snapToGrid w:val="0"/>
              <w:spacing w:line="260" w:lineRule="exact"/>
              <w:ind w:rightChars="200" w:right="420"/>
              <w:jc w:val="right"/>
              <w:rPr>
                <w:sz w:val="22"/>
                <w:szCs w:val="22"/>
              </w:rPr>
            </w:pPr>
          </w:p>
        </w:tc>
      </w:tr>
      <w:tr w:rsidR="00E77289" w:rsidRPr="007A05D6" w:rsidTr="001B06F2">
        <w:trPr>
          <w:trHeight w:hRule="exact" w:val="340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CC2F87">
            <w:pPr>
              <w:adjustRightInd w:val="0"/>
              <w:snapToGrid w:val="0"/>
              <w:ind w:leftChars="50" w:left="105" w:firstLineChars="150" w:firstLine="315"/>
              <w:rPr>
                <w:szCs w:val="21"/>
              </w:rPr>
            </w:pPr>
            <w:bookmarkStart w:id="1" w:name="_Hlk36030322"/>
            <w:r w:rsidRPr="007A05D6">
              <w:rPr>
                <w:rFonts w:hint="eastAsia"/>
                <w:szCs w:val="21"/>
              </w:rPr>
              <w:t>1</w:t>
            </w:r>
            <w:r w:rsidRPr="007A05D6">
              <w:rPr>
                <w:rFonts w:hint="eastAsia"/>
                <w:szCs w:val="21"/>
              </w:rPr>
              <w:t>、</w:t>
            </w:r>
            <w:r w:rsidRPr="007A05D6">
              <w:rPr>
                <w:szCs w:val="21"/>
              </w:rPr>
              <w:t>食品烟酒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E77289" w:rsidRDefault="00E77289" w:rsidP="00E77289">
            <w:pPr>
              <w:adjustRightInd w:val="0"/>
              <w:snapToGrid w:val="0"/>
              <w:spacing w:line="260" w:lineRule="exact"/>
              <w:ind w:rightChars="200" w:right="420"/>
              <w:jc w:val="right"/>
              <w:rPr>
                <w:sz w:val="22"/>
                <w:szCs w:val="22"/>
              </w:rPr>
            </w:pPr>
            <w:r w:rsidRPr="00E77289">
              <w:rPr>
                <w:rFonts w:hint="eastAsia"/>
                <w:sz w:val="22"/>
                <w:szCs w:val="22"/>
              </w:rPr>
              <w:t xml:space="preserve">9603 </w:t>
            </w:r>
          </w:p>
        </w:tc>
        <w:tc>
          <w:tcPr>
            <w:tcW w:w="328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E77289" w:rsidRPr="007A05D6" w:rsidRDefault="00E77289" w:rsidP="008824CF">
            <w:pPr>
              <w:widowControl/>
              <w:adjustRightInd w:val="0"/>
              <w:snapToGrid w:val="0"/>
              <w:ind w:firstLineChars="150" w:firstLine="315"/>
              <w:jc w:val="left"/>
              <w:rPr>
                <w:kern w:val="0"/>
                <w:szCs w:val="21"/>
              </w:rPr>
            </w:pPr>
            <w:r w:rsidRPr="007A05D6">
              <w:rPr>
                <w:rFonts w:hint="eastAsia"/>
                <w:kern w:val="0"/>
                <w:szCs w:val="21"/>
              </w:rPr>
              <w:t>5</w:t>
            </w:r>
            <w:r w:rsidRPr="007A05D6">
              <w:rPr>
                <w:rFonts w:hint="eastAsia"/>
                <w:kern w:val="0"/>
                <w:szCs w:val="21"/>
              </w:rPr>
              <w:t>、</w:t>
            </w:r>
            <w:r w:rsidRPr="007A05D6">
              <w:rPr>
                <w:kern w:val="0"/>
                <w:szCs w:val="21"/>
              </w:rPr>
              <w:t>交通通信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77289" w:rsidRPr="00E77289" w:rsidRDefault="00E77289" w:rsidP="00E77289">
            <w:pPr>
              <w:adjustRightInd w:val="0"/>
              <w:snapToGrid w:val="0"/>
              <w:spacing w:line="260" w:lineRule="exact"/>
              <w:ind w:rightChars="200" w:right="420"/>
              <w:jc w:val="right"/>
              <w:rPr>
                <w:sz w:val="22"/>
                <w:szCs w:val="22"/>
              </w:rPr>
            </w:pPr>
            <w:r w:rsidRPr="00E77289">
              <w:rPr>
                <w:rFonts w:hint="eastAsia"/>
                <w:sz w:val="22"/>
                <w:szCs w:val="22"/>
              </w:rPr>
              <w:t xml:space="preserve">5705 </w:t>
            </w:r>
          </w:p>
        </w:tc>
      </w:tr>
      <w:tr w:rsidR="00E77289" w:rsidRPr="007A05D6" w:rsidTr="001B06F2">
        <w:trPr>
          <w:trHeight w:hRule="exact" w:val="340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CC2F87">
            <w:pPr>
              <w:widowControl/>
              <w:adjustRightInd w:val="0"/>
              <w:snapToGrid w:val="0"/>
              <w:ind w:firstLineChars="200" w:firstLine="420"/>
              <w:jc w:val="left"/>
              <w:rPr>
                <w:kern w:val="0"/>
                <w:szCs w:val="21"/>
              </w:rPr>
            </w:pPr>
            <w:r w:rsidRPr="007A05D6">
              <w:rPr>
                <w:rFonts w:hint="eastAsia"/>
                <w:kern w:val="0"/>
                <w:szCs w:val="21"/>
              </w:rPr>
              <w:t>2</w:t>
            </w:r>
            <w:r w:rsidRPr="007A05D6">
              <w:rPr>
                <w:rFonts w:hint="eastAsia"/>
                <w:kern w:val="0"/>
                <w:szCs w:val="21"/>
              </w:rPr>
              <w:t>、</w:t>
            </w:r>
            <w:r w:rsidRPr="007A05D6">
              <w:rPr>
                <w:kern w:val="0"/>
                <w:szCs w:val="21"/>
              </w:rPr>
              <w:t>衣着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E77289" w:rsidRDefault="00E77289" w:rsidP="00E77289">
            <w:pPr>
              <w:adjustRightInd w:val="0"/>
              <w:snapToGrid w:val="0"/>
              <w:spacing w:line="260" w:lineRule="exact"/>
              <w:ind w:rightChars="200" w:right="420"/>
              <w:jc w:val="right"/>
              <w:rPr>
                <w:sz w:val="22"/>
                <w:szCs w:val="22"/>
              </w:rPr>
            </w:pPr>
            <w:r w:rsidRPr="00E77289">
              <w:rPr>
                <w:rFonts w:hint="eastAsia"/>
                <w:sz w:val="22"/>
                <w:szCs w:val="22"/>
              </w:rPr>
              <w:t xml:space="preserve">3201 </w:t>
            </w:r>
          </w:p>
        </w:tc>
        <w:tc>
          <w:tcPr>
            <w:tcW w:w="328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E77289" w:rsidRPr="007A05D6" w:rsidRDefault="00E77289" w:rsidP="008824CF">
            <w:pPr>
              <w:widowControl/>
              <w:adjustRightInd w:val="0"/>
              <w:snapToGrid w:val="0"/>
              <w:ind w:firstLineChars="150" w:firstLine="315"/>
              <w:jc w:val="left"/>
              <w:rPr>
                <w:kern w:val="0"/>
                <w:szCs w:val="21"/>
              </w:rPr>
            </w:pPr>
            <w:r w:rsidRPr="007A05D6">
              <w:rPr>
                <w:rFonts w:hint="eastAsia"/>
                <w:kern w:val="0"/>
                <w:szCs w:val="21"/>
              </w:rPr>
              <w:t>6</w:t>
            </w:r>
            <w:r w:rsidRPr="007A05D6">
              <w:rPr>
                <w:rFonts w:hint="eastAsia"/>
                <w:kern w:val="0"/>
                <w:szCs w:val="21"/>
              </w:rPr>
              <w:t>、</w:t>
            </w:r>
            <w:r w:rsidRPr="007A05D6">
              <w:rPr>
                <w:kern w:val="0"/>
                <w:szCs w:val="21"/>
              </w:rPr>
              <w:t>教育文化娱乐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77289" w:rsidRPr="00E77289" w:rsidRDefault="00E77289" w:rsidP="00E77289">
            <w:pPr>
              <w:adjustRightInd w:val="0"/>
              <w:snapToGrid w:val="0"/>
              <w:spacing w:line="260" w:lineRule="exact"/>
              <w:ind w:rightChars="200" w:right="420"/>
              <w:jc w:val="right"/>
              <w:rPr>
                <w:sz w:val="22"/>
                <w:szCs w:val="22"/>
              </w:rPr>
            </w:pPr>
            <w:r w:rsidRPr="00E77289">
              <w:rPr>
                <w:rFonts w:hint="eastAsia"/>
                <w:sz w:val="22"/>
                <w:szCs w:val="22"/>
              </w:rPr>
              <w:t xml:space="preserve">3544 </w:t>
            </w:r>
          </w:p>
        </w:tc>
      </w:tr>
      <w:tr w:rsidR="00E77289" w:rsidRPr="007A05D6" w:rsidTr="001B06F2">
        <w:trPr>
          <w:trHeight w:hRule="exact" w:val="340"/>
          <w:jc w:val="center"/>
        </w:trPr>
        <w:tc>
          <w:tcPr>
            <w:tcW w:w="31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CC2F87">
            <w:pPr>
              <w:widowControl/>
              <w:adjustRightInd w:val="0"/>
              <w:snapToGrid w:val="0"/>
              <w:ind w:firstLineChars="200" w:firstLine="420"/>
              <w:jc w:val="left"/>
              <w:rPr>
                <w:kern w:val="0"/>
                <w:szCs w:val="21"/>
              </w:rPr>
            </w:pPr>
            <w:r w:rsidRPr="007A05D6">
              <w:rPr>
                <w:rFonts w:hint="eastAsia"/>
                <w:kern w:val="0"/>
                <w:szCs w:val="21"/>
              </w:rPr>
              <w:t>3</w:t>
            </w:r>
            <w:r w:rsidRPr="007A05D6">
              <w:rPr>
                <w:rFonts w:hint="eastAsia"/>
                <w:kern w:val="0"/>
                <w:szCs w:val="21"/>
              </w:rPr>
              <w:t>、</w:t>
            </w:r>
            <w:r w:rsidRPr="007A05D6">
              <w:rPr>
                <w:kern w:val="0"/>
                <w:szCs w:val="21"/>
              </w:rPr>
              <w:t>居住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E77289" w:rsidRDefault="00E77289" w:rsidP="00E77289">
            <w:pPr>
              <w:adjustRightInd w:val="0"/>
              <w:snapToGrid w:val="0"/>
              <w:spacing w:line="260" w:lineRule="exact"/>
              <w:ind w:rightChars="200" w:right="420"/>
              <w:jc w:val="right"/>
              <w:rPr>
                <w:sz w:val="22"/>
                <w:szCs w:val="22"/>
              </w:rPr>
            </w:pPr>
            <w:r w:rsidRPr="00E77289">
              <w:rPr>
                <w:rFonts w:hint="eastAsia"/>
                <w:sz w:val="22"/>
                <w:szCs w:val="22"/>
              </w:rPr>
              <w:t xml:space="preserve">7498 </w:t>
            </w:r>
          </w:p>
        </w:tc>
        <w:tc>
          <w:tcPr>
            <w:tcW w:w="328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E77289" w:rsidRPr="007A05D6" w:rsidRDefault="00E77289" w:rsidP="008824CF">
            <w:pPr>
              <w:widowControl/>
              <w:adjustRightInd w:val="0"/>
              <w:snapToGrid w:val="0"/>
              <w:ind w:firstLineChars="150" w:firstLine="315"/>
              <w:jc w:val="left"/>
              <w:rPr>
                <w:kern w:val="0"/>
                <w:szCs w:val="21"/>
              </w:rPr>
            </w:pPr>
            <w:r w:rsidRPr="007A05D6">
              <w:rPr>
                <w:rFonts w:hint="eastAsia"/>
                <w:kern w:val="0"/>
                <w:szCs w:val="21"/>
              </w:rPr>
              <w:t>7</w:t>
            </w:r>
            <w:r w:rsidRPr="007A05D6">
              <w:rPr>
                <w:rFonts w:hint="eastAsia"/>
                <w:kern w:val="0"/>
                <w:szCs w:val="21"/>
              </w:rPr>
              <w:t>、</w:t>
            </w:r>
            <w:r w:rsidRPr="007A05D6">
              <w:rPr>
                <w:kern w:val="0"/>
                <w:szCs w:val="21"/>
              </w:rPr>
              <w:t>医疗保健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77289" w:rsidRPr="00E77289" w:rsidRDefault="00E77289" w:rsidP="00E77289">
            <w:pPr>
              <w:adjustRightInd w:val="0"/>
              <w:snapToGrid w:val="0"/>
              <w:spacing w:line="260" w:lineRule="exact"/>
              <w:ind w:rightChars="200" w:right="420"/>
              <w:jc w:val="right"/>
              <w:rPr>
                <w:sz w:val="22"/>
                <w:szCs w:val="22"/>
              </w:rPr>
            </w:pPr>
            <w:r w:rsidRPr="00E77289">
              <w:rPr>
                <w:rFonts w:hint="eastAsia"/>
                <w:sz w:val="22"/>
                <w:szCs w:val="22"/>
              </w:rPr>
              <w:t xml:space="preserve">2039 </w:t>
            </w:r>
          </w:p>
        </w:tc>
      </w:tr>
      <w:tr w:rsidR="00E77289" w:rsidRPr="007A05D6" w:rsidTr="001B06F2">
        <w:trPr>
          <w:trHeight w:hRule="exact" w:val="340"/>
          <w:jc w:val="center"/>
        </w:trPr>
        <w:tc>
          <w:tcPr>
            <w:tcW w:w="31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7A05D6" w:rsidRDefault="00E77289" w:rsidP="00CC2F87">
            <w:pPr>
              <w:widowControl/>
              <w:adjustRightInd w:val="0"/>
              <w:snapToGrid w:val="0"/>
              <w:ind w:firstLineChars="200" w:firstLine="420"/>
              <w:jc w:val="left"/>
              <w:rPr>
                <w:szCs w:val="21"/>
              </w:rPr>
            </w:pPr>
            <w:r w:rsidRPr="007A05D6">
              <w:rPr>
                <w:rFonts w:hint="eastAsia"/>
                <w:kern w:val="0"/>
                <w:szCs w:val="21"/>
              </w:rPr>
              <w:t>4</w:t>
            </w:r>
            <w:r w:rsidRPr="007A05D6">
              <w:rPr>
                <w:rFonts w:hint="eastAsia"/>
                <w:kern w:val="0"/>
                <w:szCs w:val="21"/>
              </w:rPr>
              <w:t>、</w:t>
            </w:r>
            <w:r w:rsidRPr="007A05D6">
              <w:rPr>
                <w:kern w:val="0"/>
                <w:szCs w:val="21"/>
              </w:rPr>
              <w:t>生活用品及服务</w:t>
            </w:r>
          </w:p>
        </w:tc>
        <w:tc>
          <w:tcPr>
            <w:tcW w:w="1726" w:type="dxa"/>
            <w:tcBorders>
              <w:top w:val="nil"/>
              <w:left w:val="single" w:sz="8" w:space="0" w:color="auto"/>
              <w:bottom w:val="single" w:sz="12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7289" w:rsidRPr="00E77289" w:rsidRDefault="00E77289" w:rsidP="00E77289">
            <w:pPr>
              <w:adjustRightInd w:val="0"/>
              <w:snapToGrid w:val="0"/>
              <w:spacing w:line="260" w:lineRule="exact"/>
              <w:ind w:rightChars="200" w:right="420"/>
              <w:jc w:val="right"/>
              <w:rPr>
                <w:sz w:val="22"/>
                <w:szCs w:val="22"/>
              </w:rPr>
            </w:pPr>
            <w:r w:rsidRPr="00E77289">
              <w:rPr>
                <w:rFonts w:hint="eastAsia"/>
                <w:sz w:val="22"/>
                <w:szCs w:val="22"/>
              </w:rPr>
              <w:t xml:space="preserve">2709 </w:t>
            </w:r>
          </w:p>
        </w:tc>
        <w:tc>
          <w:tcPr>
            <w:tcW w:w="3280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77289" w:rsidRPr="007A05D6" w:rsidRDefault="00E77289" w:rsidP="008824CF">
            <w:pPr>
              <w:widowControl/>
              <w:adjustRightInd w:val="0"/>
              <w:snapToGrid w:val="0"/>
              <w:ind w:firstLineChars="150" w:firstLine="315"/>
              <w:jc w:val="left"/>
              <w:rPr>
                <w:kern w:val="0"/>
                <w:szCs w:val="21"/>
              </w:rPr>
            </w:pPr>
            <w:r w:rsidRPr="007A05D6">
              <w:rPr>
                <w:rFonts w:hint="eastAsia"/>
                <w:kern w:val="0"/>
                <w:szCs w:val="21"/>
              </w:rPr>
              <w:t>8</w:t>
            </w:r>
            <w:r w:rsidRPr="007A05D6">
              <w:rPr>
                <w:rFonts w:hint="eastAsia"/>
                <w:kern w:val="0"/>
                <w:szCs w:val="21"/>
              </w:rPr>
              <w:t>、</w:t>
            </w:r>
            <w:r w:rsidRPr="007A05D6">
              <w:rPr>
                <w:kern w:val="0"/>
                <w:szCs w:val="21"/>
              </w:rPr>
              <w:t>其他用品和服务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77289" w:rsidRPr="00E77289" w:rsidRDefault="00E77289" w:rsidP="00E77289">
            <w:pPr>
              <w:adjustRightInd w:val="0"/>
              <w:snapToGrid w:val="0"/>
              <w:spacing w:line="260" w:lineRule="exact"/>
              <w:ind w:rightChars="200" w:right="420"/>
              <w:jc w:val="right"/>
              <w:rPr>
                <w:sz w:val="22"/>
                <w:szCs w:val="22"/>
              </w:rPr>
            </w:pPr>
            <w:r w:rsidRPr="00E77289">
              <w:rPr>
                <w:rFonts w:hint="eastAsia"/>
                <w:sz w:val="22"/>
                <w:szCs w:val="22"/>
              </w:rPr>
              <w:t xml:space="preserve">1172 </w:t>
            </w:r>
          </w:p>
        </w:tc>
      </w:tr>
    </w:tbl>
    <w:bookmarkEnd w:id="1"/>
    <w:p w:rsidR="005E7290" w:rsidRPr="00C41ECD" w:rsidRDefault="005E7290" w:rsidP="00AF2873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eastAsia="方正黑体简体"/>
          <w:color w:val="000000"/>
          <w:sz w:val="24"/>
        </w:rPr>
      </w:pPr>
      <w:r w:rsidRPr="00C41ECD">
        <w:rPr>
          <w:rFonts w:eastAsia="方正黑体简体" w:hint="eastAsia"/>
          <w:color w:val="000000"/>
          <w:sz w:val="24"/>
        </w:rPr>
        <w:t>十一、劳动就业和</w:t>
      </w:r>
      <w:r w:rsidR="000207F0" w:rsidRPr="00C41ECD">
        <w:rPr>
          <w:rFonts w:eastAsia="方正黑体简体" w:hint="eastAsia"/>
          <w:color w:val="000000"/>
          <w:sz w:val="24"/>
        </w:rPr>
        <w:t>社会</w:t>
      </w:r>
      <w:r w:rsidRPr="00C41ECD">
        <w:rPr>
          <w:rFonts w:eastAsia="方正黑体简体" w:hint="eastAsia"/>
          <w:color w:val="000000"/>
          <w:sz w:val="24"/>
        </w:rPr>
        <w:t>保障</w:t>
      </w:r>
    </w:p>
    <w:p w:rsidR="005E7290" w:rsidRPr="00C41ECD" w:rsidRDefault="005E7290" w:rsidP="005E7290">
      <w:pPr>
        <w:overflowPunct w:val="0"/>
        <w:spacing w:line="420" w:lineRule="exact"/>
        <w:ind w:firstLineChars="200" w:firstLine="420"/>
        <w:rPr>
          <w:snapToGrid w:val="0"/>
          <w:kern w:val="0"/>
          <w:szCs w:val="21"/>
        </w:rPr>
      </w:pPr>
      <w:r w:rsidRPr="00C41ECD">
        <w:rPr>
          <w:rFonts w:hint="eastAsia"/>
          <w:snapToGrid w:val="0"/>
          <w:kern w:val="0"/>
          <w:szCs w:val="21"/>
        </w:rPr>
        <w:t>年末</w:t>
      </w:r>
      <w:r w:rsidR="00724E1C">
        <w:rPr>
          <w:rFonts w:hint="eastAsia"/>
          <w:snapToGrid w:val="0"/>
          <w:kern w:val="0"/>
          <w:szCs w:val="21"/>
        </w:rPr>
        <w:t>全市</w:t>
      </w:r>
      <w:r w:rsidRPr="00C41ECD">
        <w:rPr>
          <w:rFonts w:hint="eastAsia"/>
          <w:snapToGrid w:val="0"/>
          <w:kern w:val="0"/>
          <w:szCs w:val="21"/>
        </w:rPr>
        <w:t>基本养老保险参保人数</w:t>
      </w:r>
      <w:r w:rsidRPr="00C41ECD">
        <w:rPr>
          <w:rFonts w:hint="eastAsia"/>
          <w:snapToGrid w:val="0"/>
          <w:kern w:val="0"/>
          <w:szCs w:val="21"/>
        </w:rPr>
        <w:t>29.81</w:t>
      </w:r>
      <w:r w:rsidRPr="00C41ECD">
        <w:rPr>
          <w:rFonts w:hint="eastAsia"/>
          <w:snapToGrid w:val="0"/>
          <w:kern w:val="0"/>
          <w:szCs w:val="21"/>
        </w:rPr>
        <w:t>万人；失业保险参保人数</w:t>
      </w:r>
      <w:r w:rsidRPr="00C41ECD">
        <w:rPr>
          <w:rFonts w:hint="eastAsia"/>
          <w:snapToGrid w:val="0"/>
          <w:kern w:val="0"/>
          <w:szCs w:val="21"/>
        </w:rPr>
        <w:t>18.49</w:t>
      </w:r>
      <w:r w:rsidRPr="00C41ECD">
        <w:rPr>
          <w:rFonts w:hint="eastAsia"/>
          <w:snapToGrid w:val="0"/>
          <w:kern w:val="0"/>
          <w:szCs w:val="21"/>
        </w:rPr>
        <w:t>万人；城镇职工基本医疗保险参保人数</w:t>
      </w:r>
      <w:r w:rsidRPr="00C41ECD">
        <w:rPr>
          <w:rFonts w:hint="eastAsia"/>
          <w:snapToGrid w:val="0"/>
          <w:kern w:val="0"/>
          <w:szCs w:val="21"/>
        </w:rPr>
        <w:t>23.17</w:t>
      </w:r>
      <w:r w:rsidRPr="00C41ECD">
        <w:rPr>
          <w:rFonts w:hint="eastAsia"/>
          <w:snapToGrid w:val="0"/>
          <w:kern w:val="0"/>
          <w:szCs w:val="21"/>
        </w:rPr>
        <w:t>万人；工伤保险参保人数</w:t>
      </w:r>
      <w:r w:rsidRPr="00C41ECD">
        <w:rPr>
          <w:snapToGrid w:val="0"/>
          <w:kern w:val="0"/>
          <w:szCs w:val="21"/>
        </w:rPr>
        <w:t>18</w:t>
      </w:r>
      <w:r w:rsidRPr="00C41ECD">
        <w:rPr>
          <w:rFonts w:hint="eastAsia"/>
          <w:snapToGrid w:val="0"/>
          <w:kern w:val="0"/>
          <w:szCs w:val="21"/>
        </w:rPr>
        <w:t>.69</w:t>
      </w:r>
      <w:r w:rsidRPr="00C41ECD">
        <w:rPr>
          <w:rFonts w:hint="eastAsia"/>
          <w:snapToGrid w:val="0"/>
          <w:kern w:val="0"/>
          <w:szCs w:val="21"/>
        </w:rPr>
        <w:t>万人；生育保险参保人数</w:t>
      </w:r>
      <w:r w:rsidRPr="00C41ECD">
        <w:rPr>
          <w:rFonts w:hint="eastAsia"/>
          <w:snapToGrid w:val="0"/>
          <w:kern w:val="0"/>
          <w:szCs w:val="21"/>
        </w:rPr>
        <w:t>17.68</w:t>
      </w:r>
      <w:r w:rsidRPr="00C41ECD">
        <w:rPr>
          <w:rFonts w:hint="eastAsia"/>
          <w:snapToGrid w:val="0"/>
          <w:kern w:val="0"/>
          <w:szCs w:val="21"/>
        </w:rPr>
        <w:t>万人。城乡居民基本医疗保险参保人数</w:t>
      </w:r>
      <w:r w:rsidRPr="00C41ECD">
        <w:rPr>
          <w:rFonts w:hint="eastAsia"/>
          <w:snapToGrid w:val="0"/>
          <w:kern w:val="0"/>
          <w:szCs w:val="21"/>
        </w:rPr>
        <w:t>10.12</w:t>
      </w:r>
      <w:r w:rsidRPr="00C41ECD">
        <w:rPr>
          <w:rFonts w:hint="eastAsia"/>
          <w:snapToGrid w:val="0"/>
          <w:kern w:val="0"/>
          <w:szCs w:val="21"/>
        </w:rPr>
        <w:t>万人，城乡居民社会养老保险参保人数</w:t>
      </w:r>
      <w:r w:rsidRPr="00C41ECD">
        <w:rPr>
          <w:rFonts w:hint="eastAsia"/>
          <w:snapToGrid w:val="0"/>
          <w:kern w:val="0"/>
          <w:szCs w:val="21"/>
        </w:rPr>
        <w:t>0.28</w:t>
      </w:r>
      <w:r w:rsidRPr="00C41ECD">
        <w:rPr>
          <w:rFonts w:hint="eastAsia"/>
          <w:snapToGrid w:val="0"/>
          <w:kern w:val="0"/>
          <w:szCs w:val="21"/>
        </w:rPr>
        <w:t>万人。离退休人员养老金社会化发放率保持</w:t>
      </w:r>
      <w:r w:rsidRPr="00C41ECD">
        <w:rPr>
          <w:snapToGrid w:val="0"/>
          <w:kern w:val="0"/>
          <w:szCs w:val="21"/>
        </w:rPr>
        <w:t>100%</w:t>
      </w:r>
      <w:r w:rsidRPr="00C41ECD">
        <w:rPr>
          <w:rFonts w:hint="eastAsia"/>
          <w:snapToGrid w:val="0"/>
          <w:kern w:val="0"/>
          <w:szCs w:val="21"/>
        </w:rPr>
        <w:t>。</w:t>
      </w:r>
    </w:p>
    <w:p w:rsidR="005E7290" w:rsidRPr="00C41ECD" w:rsidRDefault="005E7290" w:rsidP="005E7290">
      <w:pPr>
        <w:spacing w:line="400" w:lineRule="exact"/>
        <w:ind w:firstLineChars="200" w:firstLine="420"/>
      </w:pPr>
      <w:r w:rsidRPr="00C41ECD">
        <w:rPr>
          <w:rFonts w:hint="eastAsia"/>
        </w:rPr>
        <w:t>全年残疾人就业保障金征收</w:t>
      </w:r>
      <w:r w:rsidRPr="00C41ECD">
        <w:rPr>
          <w:rFonts w:hint="eastAsia"/>
        </w:rPr>
        <w:t>6421</w:t>
      </w:r>
      <w:r w:rsidRPr="00C41ECD">
        <w:rPr>
          <w:rFonts w:hint="eastAsia"/>
        </w:rPr>
        <w:t>万元，为</w:t>
      </w:r>
      <w:r w:rsidRPr="00C41ECD">
        <w:rPr>
          <w:rFonts w:hint="eastAsia"/>
        </w:rPr>
        <w:t xml:space="preserve"> 614</w:t>
      </w:r>
      <w:r w:rsidRPr="00C41ECD">
        <w:rPr>
          <w:rFonts w:hint="eastAsia"/>
        </w:rPr>
        <w:t>名无业残疾人发放基本生活费</w:t>
      </w:r>
      <w:r w:rsidRPr="00C41ECD">
        <w:rPr>
          <w:rFonts w:hint="eastAsia"/>
        </w:rPr>
        <w:t xml:space="preserve"> 160.07</w:t>
      </w:r>
      <w:r w:rsidRPr="00C41ECD">
        <w:rPr>
          <w:rFonts w:hint="eastAsia"/>
        </w:rPr>
        <w:t>万元，为</w:t>
      </w:r>
      <w:r w:rsidRPr="00C41ECD">
        <w:rPr>
          <w:rFonts w:hint="eastAsia"/>
        </w:rPr>
        <w:t xml:space="preserve"> 282</w:t>
      </w:r>
      <w:r w:rsidRPr="00C41ECD">
        <w:rPr>
          <w:rFonts w:hint="eastAsia"/>
        </w:rPr>
        <w:t>名重度残疾人发放慰问金</w:t>
      </w:r>
      <w:r w:rsidRPr="00C41ECD">
        <w:rPr>
          <w:rFonts w:hint="eastAsia"/>
        </w:rPr>
        <w:t>12.88</w:t>
      </w:r>
      <w:r w:rsidRPr="00C41ECD">
        <w:rPr>
          <w:rFonts w:hint="eastAsia"/>
        </w:rPr>
        <w:t>万元，为</w:t>
      </w:r>
      <w:r w:rsidRPr="00C41ECD">
        <w:rPr>
          <w:rFonts w:hint="eastAsia"/>
        </w:rPr>
        <w:t xml:space="preserve"> 1</w:t>
      </w:r>
      <w:r w:rsidRPr="00C41ECD">
        <w:rPr>
          <w:rFonts w:hint="eastAsia"/>
        </w:rPr>
        <w:t>名残疾学生发放自强奖学金</w:t>
      </w:r>
      <w:r w:rsidRPr="00C41ECD">
        <w:rPr>
          <w:rFonts w:hint="eastAsia"/>
        </w:rPr>
        <w:t>0.5</w:t>
      </w:r>
      <w:r w:rsidRPr="00C41ECD">
        <w:rPr>
          <w:rFonts w:hint="eastAsia"/>
        </w:rPr>
        <w:t>万元，将</w:t>
      </w:r>
      <w:r w:rsidRPr="00C41ECD">
        <w:rPr>
          <w:rFonts w:hint="eastAsia"/>
        </w:rPr>
        <w:t>192</w:t>
      </w:r>
      <w:r w:rsidRPr="00C41ECD">
        <w:rPr>
          <w:rFonts w:hint="eastAsia"/>
        </w:rPr>
        <w:t>名生活困难的残疾人纳入城乡居民最低保障范围。</w:t>
      </w:r>
    </w:p>
    <w:p w:rsidR="005E7290" w:rsidRPr="00D56DDC" w:rsidRDefault="005E7290" w:rsidP="005E7290">
      <w:pPr>
        <w:spacing w:line="400" w:lineRule="exact"/>
        <w:ind w:firstLineChars="200" w:firstLine="420"/>
      </w:pPr>
      <w:r w:rsidRPr="00D56DDC">
        <w:rPr>
          <w:rFonts w:hint="eastAsia"/>
          <w:snapToGrid w:val="0"/>
          <w:kern w:val="0"/>
          <w:szCs w:val="21"/>
        </w:rPr>
        <w:t>年末</w:t>
      </w:r>
      <w:r w:rsidR="00724E1C">
        <w:rPr>
          <w:rFonts w:hint="eastAsia"/>
          <w:snapToGrid w:val="0"/>
          <w:kern w:val="0"/>
          <w:szCs w:val="21"/>
        </w:rPr>
        <w:t>全市</w:t>
      </w:r>
      <w:r w:rsidRPr="00D56DDC">
        <w:rPr>
          <w:rFonts w:hint="eastAsia"/>
          <w:snapToGrid w:val="0"/>
          <w:kern w:val="0"/>
          <w:szCs w:val="21"/>
        </w:rPr>
        <w:t>各类收养性社会福利单位床位</w:t>
      </w:r>
      <w:r w:rsidR="009A2606" w:rsidRPr="00D56DDC">
        <w:rPr>
          <w:rFonts w:hint="eastAsia"/>
          <w:snapToGrid w:val="0"/>
          <w:kern w:val="0"/>
          <w:szCs w:val="21"/>
        </w:rPr>
        <w:t>1603</w:t>
      </w:r>
      <w:r w:rsidRPr="00D56DDC">
        <w:rPr>
          <w:rFonts w:hint="eastAsia"/>
          <w:snapToGrid w:val="0"/>
          <w:kern w:val="0"/>
          <w:szCs w:val="21"/>
        </w:rPr>
        <w:t>张，在院</w:t>
      </w:r>
      <w:r w:rsidR="009A2606" w:rsidRPr="00D56DDC">
        <w:rPr>
          <w:rFonts w:hint="eastAsia"/>
          <w:snapToGrid w:val="0"/>
          <w:kern w:val="0"/>
          <w:szCs w:val="21"/>
        </w:rPr>
        <w:t>887</w:t>
      </w:r>
      <w:r w:rsidRPr="00D56DDC">
        <w:rPr>
          <w:rFonts w:hint="eastAsia"/>
          <w:snapToGrid w:val="0"/>
          <w:kern w:val="0"/>
          <w:szCs w:val="21"/>
        </w:rPr>
        <w:t>人。</w:t>
      </w:r>
      <w:r w:rsidRPr="00D56DDC">
        <w:rPr>
          <w:rFonts w:hint="eastAsia"/>
        </w:rPr>
        <w:t>全年销售社会福利彩票</w:t>
      </w:r>
      <w:r w:rsidRPr="00D56DDC">
        <w:rPr>
          <w:rFonts w:hint="eastAsia"/>
        </w:rPr>
        <w:t xml:space="preserve"> 15159 </w:t>
      </w:r>
      <w:r w:rsidRPr="00D56DDC">
        <w:rPr>
          <w:rFonts w:hint="eastAsia"/>
        </w:rPr>
        <w:t>万元，为国家筹集社会福利资金</w:t>
      </w:r>
      <w:r w:rsidRPr="00D56DDC">
        <w:rPr>
          <w:rFonts w:hint="eastAsia"/>
        </w:rPr>
        <w:t xml:space="preserve"> 4485.2 </w:t>
      </w:r>
      <w:r w:rsidRPr="00D56DDC">
        <w:rPr>
          <w:rFonts w:hint="eastAsia"/>
        </w:rPr>
        <w:t>万元</w:t>
      </w:r>
      <w:r w:rsidRPr="00D56DDC">
        <w:rPr>
          <w:rFonts w:hint="eastAsia"/>
        </w:rPr>
        <w:t>,</w:t>
      </w:r>
      <w:r w:rsidRPr="00D56DDC">
        <w:rPr>
          <w:rFonts w:hint="eastAsia"/>
        </w:rPr>
        <w:t>为我市筹集社会福利资金</w:t>
      </w:r>
      <w:r w:rsidRPr="00D56DDC">
        <w:rPr>
          <w:rFonts w:hint="eastAsia"/>
        </w:rPr>
        <w:t>1170</w:t>
      </w:r>
      <w:r w:rsidRPr="00D56DDC">
        <w:rPr>
          <w:rFonts w:hint="eastAsia"/>
        </w:rPr>
        <w:t>万元。</w:t>
      </w:r>
    </w:p>
    <w:p w:rsidR="005E7290" w:rsidRPr="00D56DDC" w:rsidRDefault="005E7290" w:rsidP="005E7290">
      <w:pPr>
        <w:overflowPunct w:val="0"/>
        <w:spacing w:line="420" w:lineRule="exact"/>
        <w:ind w:firstLineChars="200" w:firstLine="420"/>
        <w:rPr>
          <w:snapToGrid w:val="0"/>
          <w:kern w:val="0"/>
          <w:szCs w:val="21"/>
        </w:rPr>
      </w:pPr>
      <w:r w:rsidRPr="00D56DDC">
        <w:rPr>
          <w:rFonts w:hint="eastAsia"/>
          <w:snapToGrid w:val="0"/>
          <w:kern w:val="0"/>
          <w:szCs w:val="21"/>
        </w:rPr>
        <w:lastRenderedPageBreak/>
        <w:t>2019</w:t>
      </w:r>
      <w:r w:rsidRPr="00D56DDC">
        <w:rPr>
          <w:rFonts w:hint="eastAsia"/>
          <w:snapToGrid w:val="0"/>
          <w:kern w:val="0"/>
          <w:szCs w:val="21"/>
        </w:rPr>
        <w:t>年，城乡</w:t>
      </w:r>
      <w:proofErr w:type="gramStart"/>
      <w:r w:rsidRPr="00D56DDC">
        <w:rPr>
          <w:rFonts w:hint="eastAsia"/>
          <w:snapToGrid w:val="0"/>
          <w:kern w:val="0"/>
          <w:szCs w:val="21"/>
        </w:rPr>
        <w:t>低保标准</w:t>
      </w:r>
      <w:proofErr w:type="gramEnd"/>
      <w:r w:rsidRPr="00D56DDC">
        <w:rPr>
          <w:rFonts w:hint="eastAsia"/>
          <w:snapToGrid w:val="0"/>
          <w:kern w:val="0"/>
          <w:szCs w:val="21"/>
        </w:rPr>
        <w:t>是每人每月</w:t>
      </w:r>
      <w:r w:rsidRPr="00D56DDC">
        <w:rPr>
          <w:rFonts w:hint="eastAsia"/>
          <w:snapToGrid w:val="0"/>
          <w:kern w:val="0"/>
          <w:szCs w:val="21"/>
        </w:rPr>
        <w:t>460</w:t>
      </w:r>
      <w:r w:rsidRPr="00D56DDC">
        <w:rPr>
          <w:rFonts w:hint="eastAsia"/>
          <w:snapToGrid w:val="0"/>
          <w:kern w:val="0"/>
          <w:szCs w:val="21"/>
        </w:rPr>
        <w:t>元。</w:t>
      </w:r>
    </w:p>
    <w:p w:rsidR="005E7290" w:rsidRPr="00D56DDC" w:rsidRDefault="005E7290" w:rsidP="005E7290">
      <w:pPr>
        <w:overflowPunct w:val="0"/>
        <w:spacing w:line="420" w:lineRule="exact"/>
        <w:ind w:firstLineChars="200" w:firstLine="420"/>
        <w:rPr>
          <w:snapToGrid w:val="0"/>
          <w:kern w:val="0"/>
          <w:szCs w:val="21"/>
        </w:rPr>
      </w:pPr>
      <w:r w:rsidRPr="00D56DDC">
        <w:rPr>
          <w:rFonts w:hint="eastAsia"/>
          <w:snapToGrid w:val="0"/>
          <w:kern w:val="0"/>
          <w:szCs w:val="21"/>
        </w:rPr>
        <w:t>全年通过各种途径实现就业、再就业</w:t>
      </w:r>
      <w:r w:rsidRPr="00D56DDC">
        <w:rPr>
          <w:rFonts w:hint="eastAsia"/>
          <w:snapToGrid w:val="0"/>
          <w:kern w:val="0"/>
          <w:szCs w:val="21"/>
        </w:rPr>
        <w:t>3535</w:t>
      </w:r>
      <w:r w:rsidRPr="00D56DDC">
        <w:rPr>
          <w:rFonts w:hint="eastAsia"/>
          <w:snapToGrid w:val="0"/>
          <w:kern w:val="0"/>
          <w:szCs w:val="21"/>
        </w:rPr>
        <w:t>人，其中：少数民族失业人员实现就业</w:t>
      </w:r>
      <w:r w:rsidRPr="00D56DDC">
        <w:rPr>
          <w:rFonts w:hint="eastAsia"/>
          <w:snapToGrid w:val="0"/>
          <w:kern w:val="0"/>
          <w:szCs w:val="21"/>
        </w:rPr>
        <w:t>1174</w:t>
      </w:r>
      <w:r w:rsidRPr="00D56DDC">
        <w:rPr>
          <w:rFonts w:hint="eastAsia"/>
          <w:snapToGrid w:val="0"/>
          <w:kern w:val="0"/>
          <w:szCs w:val="21"/>
        </w:rPr>
        <w:t>人，占实现就业总数的</w:t>
      </w:r>
      <w:r w:rsidRPr="00D56DDC">
        <w:rPr>
          <w:rFonts w:hint="eastAsia"/>
          <w:snapToGrid w:val="0"/>
          <w:kern w:val="0"/>
          <w:szCs w:val="21"/>
        </w:rPr>
        <w:t>33.21</w:t>
      </w:r>
      <w:r w:rsidRPr="00D56DDC">
        <w:rPr>
          <w:snapToGrid w:val="0"/>
          <w:kern w:val="0"/>
          <w:szCs w:val="21"/>
        </w:rPr>
        <w:t>%</w:t>
      </w:r>
      <w:r w:rsidRPr="00D56DDC">
        <w:rPr>
          <w:rFonts w:hint="eastAsia"/>
          <w:snapToGrid w:val="0"/>
          <w:kern w:val="0"/>
          <w:szCs w:val="21"/>
        </w:rPr>
        <w:t>；女性失业人员实现就业</w:t>
      </w:r>
      <w:r w:rsidRPr="00D56DDC">
        <w:rPr>
          <w:rFonts w:hint="eastAsia"/>
          <w:snapToGrid w:val="0"/>
          <w:kern w:val="0"/>
          <w:szCs w:val="21"/>
        </w:rPr>
        <w:t>1682</w:t>
      </w:r>
      <w:r w:rsidRPr="00D56DDC">
        <w:rPr>
          <w:rFonts w:hint="eastAsia"/>
          <w:snapToGrid w:val="0"/>
          <w:kern w:val="0"/>
          <w:szCs w:val="21"/>
        </w:rPr>
        <w:t>人，占实现就业总数的</w:t>
      </w:r>
      <w:r w:rsidRPr="00D56DDC">
        <w:rPr>
          <w:rFonts w:hint="eastAsia"/>
          <w:snapToGrid w:val="0"/>
          <w:kern w:val="0"/>
          <w:szCs w:val="21"/>
        </w:rPr>
        <w:t>47.58</w:t>
      </w:r>
      <w:r w:rsidRPr="00D56DDC">
        <w:rPr>
          <w:snapToGrid w:val="0"/>
          <w:kern w:val="0"/>
          <w:szCs w:val="21"/>
        </w:rPr>
        <w:t>%</w:t>
      </w:r>
      <w:r w:rsidRPr="00D56DDC">
        <w:rPr>
          <w:rFonts w:hint="eastAsia"/>
          <w:snapToGrid w:val="0"/>
          <w:kern w:val="0"/>
          <w:szCs w:val="21"/>
        </w:rPr>
        <w:t>。</w:t>
      </w:r>
      <w:proofErr w:type="gramStart"/>
      <w:r w:rsidRPr="00D56DDC">
        <w:rPr>
          <w:rFonts w:hint="eastAsia"/>
          <w:snapToGrid w:val="0"/>
          <w:kern w:val="0"/>
          <w:szCs w:val="21"/>
        </w:rPr>
        <w:t>零就业</w:t>
      </w:r>
      <w:proofErr w:type="gramEnd"/>
      <w:r w:rsidRPr="00D56DDC">
        <w:rPr>
          <w:rFonts w:hint="eastAsia"/>
          <w:snapToGrid w:val="0"/>
          <w:kern w:val="0"/>
          <w:szCs w:val="21"/>
        </w:rPr>
        <w:t>家庭动态为零，城镇登记失业率为</w:t>
      </w:r>
      <w:r w:rsidRPr="00D56DDC">
        <w:rPr>
          <w:rFonts w:hint="eastAsia"/>
          <w:snapToGrid w:val="0"/>
          <w:kern w:val="0"/>
          <w:szCs w:val="21"/>
        </w:rPr>
        <w:t>1</w:t>
      </w:r>
      <w:r w:rsidRPr="00D56DDC">
        <w:rPr>
          <w:snapToGrid w:val="0"/>
          <w:kern w:val="0"/>
          <w:szCs w:val="21"/>
        </w:rPr>
        <w:t>%</w:t>
      </w:r>
      <w:r w:rsidRPr="00D56DDC">
        <w:rPr>
          <w:rFonts w:hint="eastAsia"/>
          <w:snapToGrid w:val="0"/>
          <w:kern w:val="0"/>
          <w:szCs w:val="21"/>
        </w:rPr>
        <w:t>以内。</w:t>
      </w:r>
    </w:p>
    <w:p w:rsidR="005E7290" w:rsidRPr="00D56DDC" w:rsidRDefault="005E7290" w:rsidP="005E7290">
      <w:pPr>
        <w:overflowPunct w:val="0"/>
        <w:spacing w:line="420" w:lineRule="exact"/>
        <w:ind w:firstLineChars="200" w:firstLine="420"/>
        <w:rPr>
          <w:snapToGrid w:val="0"/>
          <w:kern w:val="0"/>
          <w:szCs w:val="21"/>
        </w:rPr>
      </w:pPr>
      <w:r w:rsidRPr="00D56DDC">
        <w:rPr>
          <w:rFonts w:hint="eastAsia"/>
          <w:snapToGrid w:val="0"/>
          <w:kern w:val="0"/>
          <w:szCs w:val="21"/>
        </w:rPr>
        <w:t>全年</w:t>
      </w:r>
      <w:r w:rsidR="00465593">
        <w:rPr>
          <w:rFonts w:hint="eastAsia"/>
          <w:snapToGrid w:val="0"/>
          <w:kern w:val="0"/>
          <w:szCs w:val="21"/>
        </w:rPr>
        <w:t>全市参加职业技能</w:t>
      </w:r>
      <w:r w:rsidRPr="00D56DDC">
        <w:rPr>
          <w:rFonts w:hint="eastAsia"/>
          <w:snapToGrid w:val="0"/>
          <w:kern w:val="0"/>
          <w:szCs w:val="21"/>
        </w:rPr>
        <w:t>培训</w:t>
      </w:r>
      <w:r w:rsidRPr="00D56DDC">
        <w:rPr>
          <w:rFonts w:hint="eastAsia"/>
          <w:snapToGrid w:val="0"/>
          <w:kern w:val="0"/>
          <w:szCs w:val="21"/>
        </w:rPr>
        <w:t>41792</w:t>
      </w:r>
      <w:r w:rsidRPr="00D56DDC">
        <w:rPr>
          <w:rFonts w:hint="eastAsia"/>
          <w:snapToGrid w:val="0"/>
          <w:kern w:val="0"/>
          <w:szCs w:val="21"/>
        </w:rPr>
        <w:t>人，其中：在岗职工培训</w:t>
      </w:r>
      <w:r w:rsidRPr="00D56DDC">
        <w:rPr>
          <w:rFonts w:hint="eastAsia"/>
          <w:snapToGrid w:val="0"/>
          <w:kern w:val="0"/>
          <w:szCs w:val="21"/>
        </w:rPr>
        <w:t>40417</w:t>
      </w:r>
      <w:r w:rsidRPr="00D56DDC">
        <w:rPr>
          <w:rFonts w:hint="eastAsia"/>
          <w:snapToGrid w:val="0"/>
          <w:kern w:val="0"/>
          <w:szCs w:val="21"/>
        </w:rPr>
        <w:t>人，就业及创业培训</w:t>
      </w:r>
      <w:r w:rsidRPr="00D56DDC">
        <w:rPr>
          <w:rFonts w:hint="eastAsia"/>
          <w:snapToGrid w:val="0"/>
          <w:kern w:val="0"/>
          <w:szCs w:val="21"/>
        </w:rPr>
        <w:t>1375</w:t>
      </w:r>
      <w:r w:rsidRPr="00D56DDC">
        <w:rPr>
          <w:rFonts w:hint="eastAsia"/>
          <w:snapToGrid w:val="0"/>
          <w:kern w:val="0"/>
          <w:szCs w:val="21"/>
        </w:rPr>
        <w:t>人（其中：就业再就业培训</w:t>
      </w:r>
      <w:r w:rsidRPr="00D56DDC">
        <w:rPr>
          <w:rFonts w:hint="eastAsia"/>
          <w:snapToGrid w:val="0"/>
          <w:kern w:val="0"/>
          <w:szCs w:val="21"/>
        </w:rPr>
        <w:t>911</w:t>
      </w:r>
      <w:r w:rsidRPr="00D56DDC">
        <w:rPr>
          <w:rFonts w:hint="eastAsia"/>
          <w:snapToGrid w:val="0"/>
          <w:kern w:val="0"/>
          <w:szCs w:val="21"/>
        </w:rPr>
        <w:t>人，企业新招录岗前培训</w:t>
      </w:r>
      <w:r w:rsidRPr="00D56DDC">
        <w:rPr>
          <w:rFonts w:hint="eastAsia"/>
          <w:snapToGrid w:val="0"/>
          <w:kern w:val="0"/>
          <w:szCs w:val="21"/>
        </w:rPr>
        <w:t>210</w:t>
      </w:r>
      <w:r w:rsidRPr="00D56DDC">
        <w:rPr>
          <w:rFonts w:hint="eastAsia"/>
          <w:snapToGrid w:val="0"/>
          <w:kern w:val="0"/>
          <w:szCs w:val="21"/>
        </w:rPr>
        <w:t>人，创业培训</w:t>
      </w:r>
      <w:r w:rsidRPr="00D56DDC">
        <w:rPr>
          <w:rFonts w:hint="eastAsia"/>
          <w:snapToGrid w:val="0"/>
          <w:kern w:val="0"/>
          <w:szCs w:val="21"/>
        </w:rPr>
        <w:t>254</w:t>
      </w:r>
      <w:r w:rsidRPr="00D56DDC">
        <w:rPr>
          <w:rFonts w:hint="eastAsia"/>
          <w:snapToGrid w:val="0"/>
          <w:kern w:val="0"/>
          <w:szCs w:val="21"/>
        </w:rPr>
        <w:t>人）。职业资格证书取证</w:t>
      </w:r>
      <w:r w:rsidRPr="00D56DDC">
        <w:rPr>
          <w:rFonts w:hint="eastAsia"/>
          <w:snapToGrid w:val="0"/>
          <w:kern w:val="0"/>
          <w:szCs w:val="21"/>
        </w:rPr>
        <w:t>1649</w:t>
      </w:r>
      <w:r w:rsidRPr="00D56DDC">
        <w:rPr>
          <w:rFonts w:hint="eastAsia"/>
          <w:snapToGrid w:val="0"/>
          <w:kern w:val="0"/>
          <w:szCs w:val="21"/>
        </w:rPr>
        <w:t>人。</w:t>
      </w:r>
    </w:p>
    <w:p w:rsidR="005E7290" w:rsidRPr="00C41ECD" w:rsidRDefault="005E7290" w:rsidP="00AF2873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eastAsia="方正黑体简体"/>
          <w:sz w:val="24"/>
        </w:rPr>
      </w:pPr>
      <w:r w:rsidRPr="00D56DDC">
        <w:rPr>
          <w:rFonts w:eastAsia="方正黑体简体" w:hint="eastAsia"/>
          <w:sz w:val="24"/>
        </w:rPr>
        <w:t>十二、环境保护和安全生产</w:t>
      </w:r>
    </w:p>
    <w:p w:rsidR="0073032C" w:rsidRPr="00D56DDC" w:rsidRDefault="0073032C" w:rsidP="0073032C">
      <w:pPr>
        <w:overflowPunct w:val="0"/>
        <w:spacing w:line="420" w:lineRule="exact"/>
        <w:ind w:firstLineChars="200" w:firstLine="420"/>
        <w:rPr>
          <w:snapToGrid w:val="0"/>
          <w:color w:val="000000" w:themeColor="text1"/>
          <w:kern w:val="0"/>
          <w:szCs w:val="21"/>
        </w:rPr>
      </w:pPr>
      <w:r w:rsidRPr="00D56DDC">
        <w:rPr>
          <w:rFonts w:hint="eastAsia"/>
          <w:snapToGrid w:val="0"/>
          <w:color w:val="000000" w:themeColor="text1"/>
          <w:kern w:val="0"/>
          <w:szCs w:val="21"/>
        </w:rPr>
        <w:t>全年城市空气环境质量状况良好。大气环境质量不断改善，城市空气质量优良率为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94.0%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，较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2018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年提高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1.6%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，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 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二氧化硫（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SO</w:t>
      </w:r>
      <w:r w:rsidRPr="00465593">
        <w:rPr>
          <w:rFonts w:hint="eastAsia"/>
          <w:snapToGrid w:val="0"/>
          <w:color w:val="000000" w:themeColor="text1"/>
          <w:kern w:val="0"/>
          <w:szCs w:val="21"/>
          <w:vertAlign w:val="subscript"/>
        </w:rPr>
        <w:t>2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）、二氧化氮（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NO</w:t>
      </w:r>
      <w:r w:rsidRPr="00465593">
        <w:rPr>
          <w:rFonts w:hint="eastAsia"/>
          <w:snapToGrid w:val="0"/>
          <w:color w:val="000000" w:themeColor="text1"/>
          <w:kern w:val="0"/>
          <w:szCs w:val="21"/>
          <w:vertAlign w:val="subscript"/>
        </w:rPr>
        <w:t>2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）、一氧化碳（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CO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）、臭氧（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O</w:t>
      </w:r>
      <w:r w:rsidRPr="00465593">
        <w:rPr>
          <w:rFonts w:hint="eastAsia"/>
          <w:snapToGrid w:val="0"/>
          <w:color w:val="000000" w:themeColor="text1"/>
          <w:kern w:val="0"/>
          <w:szCs w:val="21"/>
          <w:vertAlign w:val="subscript"/>
        </w:rPr>
        <w:t>3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）、可吸入颗粒物（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PM10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）、细颗粒物（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PM2.5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）浓度较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2018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年均有不同程度下降；环境空气质量指数（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AQI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）优良天数为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343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天，较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2018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年增加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16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天。</w:t>
      </w:r>
    </w:p>
    <w:p w:rsidR="0073032C" w:rsidRPr="00D56DDC" w:rsidRDefault="0073032C" w:rsidP="0073032C">
      <w:pPr>
        <w:overflowPunct w:val="0"/>
        <w:spacing w:line="420" w:lineRule="exact"/>
        <w:ind w:firstLineChars="200" w:firstLine="420"/>
        <w:rPr>
          <w:snapToGrid w:val="0"/>
          <w:color w:val="000000" w:themeColor="text1"/>
          <w:kern w:val="0"/>
          <w:szCs w:val="21"/>
        </w:rPr>
      </w:pPr>
      <w:r w:rsidRPr="00D56DDC">
        <w:rPr>
          <w:rFonts w:hint="eastAsia"/>
          <w:snapToGrid w:val="0"/>
          <w:color w:val="000000" w:themeColor="text1"/>
          <w:kern w:val="0"/>
          <w:szCs w:val="21"/>
        </w:rPr>
        <w:t>水环境质量全面达标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 xml:space="preserve"> 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，全市</w:t>
      </w:r>
      <w:r w:rsidRPr="00D56DDC">
        <w:rPr>
          <w:snapToGrid w:val="0"/>
          <w:color w:val="000000" w:themeColor="text1"/>
          <w:kern w:val="0"/>
          <w:szCs w:val="21"/>
        </w:rPr>
        <w:t>6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个饮用水水源地水质地水质</w:t>
      </w:r>
      <w:r w:rsidR="00465593">
        <w:rPr>
          <w:rFonts w:hint="eastAsia"/>
          <w:snapToGrid w:val="0"/>
          <w:color w:val="000000" w:themeColor="text1"/>
          <w:kern w:val="0"/>
          <w:szCs w:val="21"/>
        </w:rPr>
        <w:t>达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到或优于国家Ⅲ类标准；</w:t>
      </w:r>
      <w:r w:rsidRPr="00D56DDC">
        <w:rPr>
          <w:snapToGrid w:val="0"/>
          <w:color w:val="000000" w:themeColor="text1"/>
          <w:kern w:val="0"/>
          <w:szCs w:val="21"/>
        </w:rPr>
        <w:t>10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个地表水环境质量监测断面（点位）水质均符合《地表水环境质量标准》（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GB3838-2002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）Ⅱ类水质标准；</w:t>
      </w:r>
      <w:r w:rsidRPr="00D56DDC">
        <w:rPr>
          <w:snapToGrid w:val="0"/>
          <w:color w:val="000000" w:themeColor="text1"/>
          <w:kern w:val="0"/>
          <w:szCs w:val="21"/>
        </w:rPr>
        <w:t>1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个地下水环境质量监测点位水质符合《地下水质量标准》（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GB/T14848-93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）Ⅲ类标准。</w:t>
      </w:r>
    </w:p>
    <w:p w:rsidR="0073032C" w:rsidRPr="00D56DDC" w:rsidRDefault="0073032C" w:rsidP="0073032C">
      <w:pPr>
        <w:overflowPunct w:val="0"/>
        <w:spacing w:line="420" w:lineRule="exact"/>
        <w:ind w:firstLineChars="200" w:firstLine="420"/>
        <w:rPr>
          <w:snapToGrid w:val="0"/>
          <w:color w:val="000000" w:themeColor="text1"/>
          <w:kern w:val="0"/>
          <w:szCs w:val="21"/>
        </w:rPr>
      </w:pPr>
      <w:r w:rsidRPr="00D56DDC">
        <w:rPr>
          <w:rFonts w:hint="eastAsia"/>
          <w:snapToGrid w:val="0"/>
          <w:color w:val="000000" w:themeColor="text1"/>
          <w:kern w:val="0"/>
          <w:szCs w:val="21"/>
        </w:rPr>
        <w:t>声环境质量保持稳定，全市建成区区域环境平均等效声级为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51.0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分贝，道路交通噪声平均等效声级为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62.0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分贝，均符合国家《声环境质量标准》。</w:t>
      </w:r>
    </w:p>
    <w:p w:rsidR="0073032C" w:rsidRPr="00C41ECD" w:rsidRDefault="0073032C" w:rsidP="0073032C">
      <w:pPr>
        <w:overflowPunct w:val="0"/>
        <w:spacing w:line="420" w:lineRule="exact"/>
        <w:ind w:firstLineChars="200" w:firstLine="420"/>
        <w:rPr>
          <w:snapToGrid w:val="0"/>
          <w:color w:val="000000" w:themeColor="text1"/>
          <w:kern w:val="0"/>
          <w:szCs w:val="21"/>
        </w:rPr>
      </w:pPr>
      <w:r w:rsidRPr="00D56DDC">
        <w:rPr>
          <w:rFonts w:hint="eastAsia"/>
          <w:snapToGrid w:val="0"/>
          <w:color w:val="000000" w:themeColor="text1"/>
          <w:kern w:val="0"/>
          <w:szCs w:val="21"/>
        </w:rPr>
        <w:t>土壤环境质量处于清洁（安全）级，大农业开发区监测点位土壤环境质量符合《土壤环境质量标准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 xml:space="preserve"> 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农用地土壤污染风险管控标准（试行）》（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GB15618-2018</w:t>
      </w:r>
      <w:r w:rsidRPr="00D56DDC">
        <w:rPr>
          <w:rFonts w:hint="eastAsia"/>
          <w:snapToGrid w:val="0"/>
          <w:color w:val="000000" w:themeColor="text1"/>
          <w:kern w:val="0"/>
          <w:szCs w:val="21"/>
        </w:rPr>
        <w:t>）规定的风险筛选标准，土壤污染风险低</w:t>
      </w:r>
      <w:r w:rsidRPr="00D56DDC">
        <w:rPr>
          <w:rFonts w:hint="eastAsia"/>
          <w:snapToGrid w:val="0"/>
          <w:kern w:val="0"/>
          <w:szCs w:val="21"/>
        </w:rPr>
        <w:t>。</w:t>
      </w:r>
    </w:p>
    <w:p w:rsidR="00347BC1" w:rsidRPr="00347BC1" w:rsidRDefault="00347BC1" w:rsidP="0073032C">
      <w:pPr>
        <w:overflowPunct w:val="0"/>
        <w:spacing w:line="420" w:lineRule="exact"/>
        <w:ind w:firstLineChars="200" w:firstLine="420"/>
        <w:rPr>
          <w:snapToGrid w:val="0"/>
          <w:kern w:val="0"/>
          <w:szCs w:val="21"/>
        </w:rPr>
      </w:pPr>
      <w:r w:rsidRPr="00347BC1">
        <w:rPr>
          <w:rFonts w:hint="eastAsia"/>
          <w:snapToGrid w:val="0"/>
          <w:kern w:val="0"/>
          <w:szCs w:val="21"/>
        </w:rPr>
        <w:t>城市道路完好率</w:t>
      </w:r>
      <w:r w:rsidRPr="00347BC1">
        <w:rPr>
          <w:rFonts w:hint="eastAsia"/>
          <w:snapToGrid w:val="0"/>
          <w:kern w:val="0"/>
          <w:szCs w:val="21"/>
        </w:rPr>
        <w:t>99.3%</w:t>
      </w:r>
      <w:r w:rsidRPr="00347BC1">
        <w:rPr>
          <w:rFonts w:hint="eastAsia"/>
          <w:snapToGrid w:val="0"/>
          <w:kern w:val="0"/>
          <w:szCs w:val="21"/>
        </w:rPr>
        <w:t>，亮灯率</w:t>
      </w:r>
      <w:r w:rsidRPr="00347BC1">
        <w:rPr>
          <w:rFonts w:hint="eastAsia"/>
          <w:snapToGrid w:val="0"/>
          <w:kern w:val="0"/>
          <w:szCs w:val="21"/>
        </w:rPr>
        <w:t>98%</w:t>
      </w:r>
      <w:r w:rsidRPr="00347BC1">
        <w:rPr>
          <w:rFonts w:hint="eastAsia"/>
          <w:snapToGrid w:val="0"/>
          <w:kern w:val="0"/>
          <w:szCs w:val="21"/>
        </w:rPr>
        <w:t>。城市供水普及率</w:t>
      </w:r>
      <w:r w:rsidRPr="00347BC1">
        <w:rPr>
          <w:rFonts w:hint="eastAsia"/>
          <w:snapToGrid w:val="0"/>
          <w:kern w:val="0"/>
          <w:szCs w:val="21"/>
        </w:rPr>
        <w:t>100%</w:t>
      </w:r>
      <w:r w:rsidRPr="00347BC1">
        <w:rPr>
          <w:rFonts w:hint="eastAsia"/>
          <w:snapToGrid w:val="0"/>
          <w:kern w:val="0"/>
          <w:szCs w:val="21"/>
        </w:rPr>
        <w:t>，燃气普及率</w:t>
      </w:r>
      <w:r w:rsidRPr="00347BC1">
        <w:rPr>
          <w:rFonts w:hint="eastAsia"/>
          <w:snapToGrid w:val="0"/>
          <w:kern w:val="0"/>
          <w:szCs w:val="21"/>
        </w:rPr>
        <w:t>100%</w:t>
      </w:r>
      <w:r w:rsidRPr="00347BC1">
        <w:rPr>
          <w:rFonts w:hint="eastAsia"/>
          <w:snapToGrid w:val="0"/>
          <w:kern w:val="0"/>
          <w:szCs w:val="21"/>
        </w:rPr>
        <w:t>。城市生活垃圾无害化处理率</w:t>
      </w:r>
      <w:r w:rsidRPr="00347BC1">
        <w:rPr>
          <w:rFonts w:hint="eastAsia"/>
          <w:snapToGrid w:val="0"/>
          <w:kern w:val="0"/>
          <w:szCs w:val="21"/>
        </w:rPr>
        <w:t>100%</w:t>
      </w:r>
      <w:r w:rsidRPr="00347BC1">
        <w:rPr>
          <w:rFonts w:hint="eastAsia"/>
          <w:snapToGrid w:val="0"/>
          <w:kern w:val="0"/>
          <w:szCs w:val="21"/>
        </w:rPr>
        <w:t>，城市污水处理率</w:t>
      </w:r>
      <w:r w:rsidRPr="00347BC1">
        <w:rPr>
          <w:rFonts w:hint="eastAsia"/>
          <w:snapToGrid w:val="0"/>
          <w:kern w:val="0"/>
          <w:szCs w:val="21"/>
        </w:rPr>
        <w:t>95.28%</w:t>
      </w:r>
      <w:r w:rsidRPr="00347BC1">
        <w:rPr>
          <w:rFonts w:hint="eastAsia"/>
          <w:snapToGrid w:val="0"/>
          <w:kern w:val="0"/>
          <w:szCs w:val="21"/>
        </w:rPr>
        <w:t>。绿化覆盖率</w:t>
      </w:r>
      <w:r w:rsidRPr="00347BC1">
        <w:rPr>
          <w:rFonts w:hint="eastAsia"/>
          <w:snapToGrid w:val="0"/>
          <w:kern w:val="0"/>
          <w:szCs w:val="21"/>
        </w:rPr>
        <w:t>42.55%</w:t>
      </w:r>
      <w:r w:rsidRPr="00347BC1">
        <w:rPr>
          <w:rFonts w:hint="eastAsia"/>
          <w:snapToGrid w:val="0"/>
          <w:kern w:val="0"/>
          <w:szCs w:val="21"/>
        </w:rPr>
        <w:t>，人均公园绿地面积</w:t>
      </w:r>
      <w:r w:rsidRPr="00347BC1">
        <w:rPr>
          <w:rFonts w:hint="eastAsia"/>
          <w:snapToGrid w:val="0"/>
          <w:kern w:val="0"/>
          <w:szCs w:val="21"/>
        </w:rPr>
        <w:t xml:space="preserve"> 11.81</w:t>
      </w:r>
      <w:r w:rsidRPr="00347BC1">
        <w:rPr>
          <w:rFonts w:hint="eastAsia"/>
          <w:snapToGrid w:val="0"/>
          <w:kern w:val="0"/>
          <w:szCs w:val="21"/>
        </w:rPr>
        <w:t>平方米。</w:t>
      </w:r>
    </w:p>
    <w:p w:rsidR="005E7290" w:rsidRPr="00C41ECD" w:rsidRDefault="005E7290" w:rsidP="0073032C">
      <w:pPr>
        <w:overflowPunct w:val="0"/>
        <w:spacing w:line="420" w:lineRule="exact"/>
        <w:ind w:firstLineChars="200" w:firstLine="420"/>
        <w:rPr>
          <w:snapToGrid w:val="0"/>
          <w:kern w:val="0"/>
          <w:szCs w:val="21"/>
        </w:rPr>
      </w:pPr>
      <w:r w:rsidRPr="00C41ECD">
        <w:rPr>
          <w:rFonts w:hint="eastAsia"/>
        </w:rPr>
        <w:t>全年</w:t>
      </w:r>
      <w:r w:rsidRPr="00C41ECD">
        <w:rPr>
          <w:rFonts w:hint="eastAsia"/>
          <w:snapToGrid w:val="0"/>
          <w:kern w:val="0"/>
          <w:szCs w:val="21"/>
        </w:rPr>
        <w:t>发生各类事故</w:t>
      </w:r>
      <w:r w:rsidRPr="00C41ECD">
        <w:rPr>
          <w:rFonts w:hint="eastAsia"/>
          <w:snapToGrid w:val="0"/>
          <w:kern w:val="0"/>
          <w:szCs w:val="21"/>
        </w:rPr>
        <w:t>137</w:t>
      </w:r>
      <w:r w:rsidRPr="00C41ECD">
        <w:rPr>
          <w:rFonts w:hint="eastAsia"/>
          <w:snapToGrid w:val="0"/>
          <w:kern w:val="0"/>
          <w:szCs w:val="21"/>
        </w:rPr>
        <w:t>起（不含火灾事故统计），同比下降</w:t>
      </w:r>
      <w:r w:rsidRPr="00C41ECD">
        <w:rPr>
          <w:rFonts w:hint="eastAsia"/>
          <w:snapToGrid w:val="0"/>
          <w:kern w:val="0"/>
          <w:szCs w:val="21"/>
        </w:rPr>
        <w:t>4.2</w:t>
      </w:r>
      <w:r w:rsidRPr="00C41ECD">
        <w:rPr>
          <w:snapToGrid w:val="0"/>
          <w:kern w:val="0"/>
          <w:szCs w:val="21"/>
        </w:rPr>
        <w:t>%</w:t>
      </w:r>
      <w:r w:rsidRPr="00C41ECD">
        <w:rPr>
          <w:rFonts w:hint="eastAsia"/>
          <w:snapToGrid w:val="0"/>
          <w:kern w:val="0"/>
          <w:szCs w:val="21"/>
        </w:rPr>
        <w:t>；死亡</w:t>
      </w:r>
      <w:r w:rsidRPr="00C41ECD">
        <w:rPr>
          <w:rFonts w:hint="eastAsia"/>
          <w:snapToGrid w:val="0"/>
          <w:kern w:val="0"/>
          <w:szCs w:val="21"/>
        </w:rPr>
        <w:t>51</w:t>
      </w:r>
      <w:r w:rsidRPr="00C41ECD">
        <w:rPr>
          <w:rFonts w:hint="eastAsia"/>
          <w:snapToGrid w:val="0"/>
          <w:kern w:val="0"/>
          <w:szCs w:val="21"/>
        </w:rPr>
        <w:t>人，下降</w:t>
      </w:r>
      <w:r w:rsidRPr="00C41ECD">
        <w:rPr>
          <w:rFonts w:hint="eastAsia"/>
          <w:snapToGrid w:val="0"/>
          <w:kern w:val="0"/>
          <w:szCs w:val="21"/>
        </w:rPr>
        <w:t>5.6</w:t>
      </w:r>
      <w:r w:rsidRPr="00C41ECD">
        <w:rPr>
          <w:snapToGrid w:val="0"/>
          <w:kern w:val="0"/>
          <w:szCs w:val="21"/>
        </w:rPr>
        <w:t>%</w:t>
      </w:r>
      <w:r w:rsidRPr="00C41ECD">
        <w:rPr>
          <w:rFonts w:hint="eastAsia"/>
          <w:snapToGrid w:val="0"/>
          <w:kern w:val="0"/>
          <w:szCs w:val="21"/>
        </w:rPr>
        <w:t>；受伤</w:t>
      </w:r>
      <w:r w:rsidRPr="00C41ECD">
        <w:rPr>
          <w:rFonts w:hint="eastAsia"/>
          <w:snapToGrid w:val="0"/>
          <w:kern w:val="0"/>
          <w:szCs w:val="21"/>
        </w:rPr>
        <w:t>119</w:t>
      </w:r>
      <w:r w:rsidRPr="00C41ECD">
        <w:rPr>
          <w:rFonts w:hint="eastAsia"/>
          <w:snapToGrid w:val="0"/>
          <w:kern w:val="0"/>
          <w:szCs w:val="21"/>
        </w:rPr>
        <w:t>人，下降</w:t>
      </w:r>
      <w:r w:rsidRPr="00C41ECD">
        <w:rPr>
          <w:rFonts w:hint="eastAsia"/>
          <w:snapToGrid w:val="0"/>
          <w:kern w:val="0"/>
          <w:szCs w:val="21"/>
        </w:rPr>
        <w:t>6.3</w:t>
      </w:r>
      <w:r w:rsidRPr="00C41ECD">
        <w:rPr>
          <w:snapToGrid w:val="0"/>
          <w:kern w:val="0"/>
          <w:szCs w:val="21"/>
        </w:rPr>
        <w:t>%</w:t>
      </w:r>
      <w:r w:rsidRPr="00C41ECD">
        <w:rPr>
          <w:rFonts w:hint="eastAsia"/>
          <w:snapToGrid w:val="0"/>
          <w:kern w:val="0"/>
          <w:szCs w:val="21"/>
        </w:rPr>
        <w:t>。其中发生生产经营性事故</w:t>
      </w:r>
      <w:r w:rsidRPr="00C41ECD">
        <w:rPr>
          <w:rFonts w:hint="eastAsia"/>
          <w:snapToGrid w:val="0"/>
          <w:kern w:val="0"/>
          <w:szCs w:val="21"/>
        </w:rPr>
        <w:t>20</w:t>
      </w:r>
      <w:r w:rsidRPr="00C41ECD">
        <w:rPr>
          <w:rFonts w:hint="eastAsia"/>
          <w:snapToGrid w:val="0"/>
          <w:kern w:val="0"/>
          <w:szCs w:val="21"/>
        </w:rPr>
        <w:t>起，死亡</w:t>
      </w:r>
      <w:r w:rsidRPr="00C41ECD">
        <w:rPr>
          <w:rFonts w:hint="eastAsia"/>
          <w:snapToGrid w:val="0"/>
          <w:kern w:val="0"/>
          <w:szCs w:val="21"/>
        </w:rPr>
        <w:t>14</w:t>
      </w:r>
      <w:r w:rsidRPr="00C41ECD">
        <w:rPr>
          <w:rFonts w:hint="eastAsia"/>
          <w:snapToGrid w:val="0"/>
          <w:kern w:val="0"/>
          <w:szCs w:val="21"/>
        </w:rPr>
        <w:t>人，同比事故起数下降</w:t>
      </w:r>
      <w:r w:rsidRPr="00C41ECD">
        <w:rPr>
          <w:rFonts w:hint="eastAsia"/>
          <w:snapToGrid w:val="0"/>
          <w:kern w:val="0"/>
          <w:szCs w:val="21"/>
        </w:rPr>
        <w:t>16.7%</w:t>
      </w:r>
      <w:r w:rsidRPr="00C41ECD">
        <w:rPr>
          <w:rFonts w:hint="eastAsia"/>
          <w:snapToGrid w:val="0"/>
          <w:kern w:val="0"/>
          <w:szCs w:val="21"/>
        </w:rPr>
        <w:t>，死亡人数下降</w:t>
      </w:r>
      <w:r w:rsidRPr="00C41ECD">
        <w:rPr>
          <w:rFonts w:hint="eastAsia"/>
          <w:snapToGrid w:val="0"/>
          <w:kern w:val="0"/>
          <w:szCs w:val="21"/>
        </w:rPr>
        <w:t>6.7%</w:t>
      </w:r>
      <w:r w:rsidRPr="00C41ECD">
        <w:rPr>
          <w:rFonts w:hint="eastAsia"/>
          <w:snapToGrid w:val="0"/>
          <w:kern w:val="0"/>
          <w:szCs w:val="21"/>
        </w:rPr>
        <w:t>。</w:t>
      </w:r>
    </w:p>
    <w:p w:rsidR="005E7290" w:rsidRPr="00C41ECD" w:rsidRDefault="005E7290" w:rsidP="005E7290">
      <w:pPr>
        <w:overflowPunct w:val="0"/>
        <w:spacing w:line="420" w:lineRule="exact"/>
        <w:ind w:firstLineChars="200" w:firstLine="420"/>
        <w:rPr>
          <w:snapToGrid w:val="0"/>
          <w:kern w:val="0"/>
          <w:szCs w:val="21"/>
        </w:rPr>
      </w:pPr>
      <w:r w:rsidRPr="00C41ECD">
        <w:rPr>
          <w:snapToGrid w:val="0"/>
          <w:kern w:val="0"/>
          <w:szCs w:val="21"/>
        </w:rPr>
        <w:t>20</w:t>
      </w:r>
      <w:r w:rsidRPr="00C41ECD">
        <w:rPr>
          <w:rFonts w:hint="eastAsia"/>
          <w:snapToGrid w:val="0"/>
          <w:kern w:val="0"/>
          <w:szCs w:val="21"/>
        </w:rPr>
        <w:t>19</w:t>
      </w:r>
      <w:r w:rsidRPr="00C41ECD">
        <w:rPr>
          <w:rFonts w:hint="eastAsia"/>
          <w:snapToGrid w:val="0"/>
          <w:kern w:val="0"/>
          <w:szCs w:val="21"/>
        </w:rPr>
        <w:t>年，全市亿元</w:t>
      </w:r>
      <w:r w:rsidRPr="00C41ECD">
        <w:rPr>
          <w:snapToGrid w:val="0"/>
          <w:kern w:val="0"/>
          <w:szCs w:val="21"/>
        </w:rPr>
        <w:t>GDP</w:t>
      </w:r>
      <w:r w:rsidRPr="00C41ECD">
        <w:rPr>
          <w:rFonts w:hint="eastAsia"/>
          <w:snapToGrid w:val="0"/>
          <w:kern w:val="0"/>
          <w:szCs w:val="21"/>
        </w:rPr>
        <w:t>死亡率为</w:t>
      </w:r>
      <w:r w:rsidRPr="00C41ECD">
        <w:rPr>
          <w:rFonts w:hint="eastAsia"/>
          <w:snapToGrid w:val="0"/>
          <w:color w:val="000000"/>
          <w:kern w:val="0"/>
          <w:szCs w:val="21"/>
        </w:rPr>
        <w:t>0.0524</w:t>
      </w:r>
      <w:r w:rsidRPr="00C41ECD">
        <w:rPr>
          <w:rFonts w:hint="eastAsia"/>
          <w:snapToGrid w:val="0"/>
          <w:kern w:val="0"/>
          <w:szCs w:val="21"/>
        </w:rPr>
        <w:t>人</w:t>
      </w:r>
      <w:r w:rsidRPr="00C41ECD">
        <w:rPr>
          <w:snapToGrid w:val="0"/>
          <w:kern w:val="0"/>
          <w:szCs w:val="21"/>
        </w:rPr>
        <w:t>/</w:t>
      </w:r>
      <w:r w:rsidRPr="00C41ECD">
        <w:rPr>
          <w:snapToGrid w:val="0"/>
          <w:kern w:val="0"/>
          <w:szCs w:val="21"/>
        </w:rPr>
        <w:t>亿元</w:t>
      </w:r>
      <w:r w:rsidRPr="00C41ECD">
        <w:rPr>
          <w:rFonts w:hint="eastAsia"/>
          <w:snapToGrid w:val="0"/>
          <w:kern w:val="0"/>
          <w:szCs w:val="21"/>
        </w:rPr>
        <w:t>，同比下降</w:t>
      </w:r>
      <w:r w:rsidRPr="00C41ECD">
        <w:rPr>
          <w:rFonts w:hint="eastAsia"/>
          <w:snapToGrid w:val="0"/>
          <w:color w:val="000000"/>
          <w:kern w:val="0"/>
          <w:szCs w:val="21"/>
        </w:rPr>
        <w:t>12.</w:t>
      </w:r>
      <w:r w:rsidR="00C3173F" w:rsidRPr="00C41ECD">
        <w:rPr>
          <w:rFonts w:hint="eastAsia"/>
          <w:snapToGrid w:val="0"/>
          <w:color w:val="000000"/>
          <w:kern w:val="0"/>
          <w:szCs w:val="21"/>
        </w:rPr>
        <w:t>81</w:t>
      </w:r>
      <w:r w:rsidRPr="00C41ECD">
        <w:rPr>
          <w:snapToGrid w:val="0"/>
          <w:color w:val="000000"/>
          <w:kern w:val="0"/>
          <w:szCs w:val="21"/>
        </w:rPr>
        <w:t>%</w:t>
      </w:r>
      <w:r w:rsidRPr="00C41ECD">
        <w:rPr>
          <w:rFonts w:hint="eastAsia"/>
          <w:snapToGrid w:val="0"/>
          <w:kern w:val="0"/>
          <w:szCs w:val="21"/>
        </w:rPr>
        <w:t>；道路交通万车死亡率为</w:t>
      </w:r>
      <w:r w:rsidRPr="00C41ECD">
        <w:rPr>
          <w:rFonts w:hint="eastAsia"/>
          <w:snapToGrid w:val="0"/>
          <w:color w:val="000000"/>
          <w:kern w:val="0"/>
          <w:szCs w:val="21"/>
        </w:rPr>
        <w:t>3.0052</w:t>
      </w:r>
      <w:r w:rsidRPr="00C41ECD">
        <w:rPr>
          <w:rFonts w:hint="eastAsia"/>
          <w:snapToGrid w:val="0"/>
          <w:kern w:val="0"/>
          <w:szCs w:val="21"/>
        </w:rPr>
        <w:t>人</w:t>
      </w:r>
      <w:r w:rsidRPr="00C41ECD">
        <w:rPr>
          <w:snapToGrid w:val="0"/>
          <w:kern w:val="0"/>
          <w:szCs w:val="21"/>
        </w:rPr>
        <w:t>/</w:t>
      </w:r>
      <w:r w:rsidRPr="00C41ECD">
        <w:rPr>
          <w:snapToGrid w:val="0"/>
          <w:kern w:val="0"/>
          <w:szCs w:val="21"/>
        </w:rPr>
        <w:t>万车</w:t>
      </w:r>
      <w:r w:rsidRPr="00C41ECD">
        <w:rPr>
          <w:rFonts w:hint="eastAsia"/>
          <w:snapToGrid w:val="0"/>
          <w:kern w:val="0"/>
          <w:szCs w:val="21"/>
        </w:rPr>
        <w:t>，同比下降</w:t>
      </w:r>
      <w:r w:rsidRPr="00C41ECD">
        <w:rPr>
          <w:rFonts w:hint="eastAsia"/>
          <w:snapToGrid w:val="0"/>
          <w:color w:val="000000"/>
          <w:kern w:val="0"/>
          <w:szCs w:val="21"/>
        </w:rPr>
        <w:t>11.38</w:t>
      </w:r>
      <w:r w:rsidRPr="00C41ECD">
        <w:rPr>
          <w:snapToGrid w:val="0"/>
          <w:color w:val="000000"/>
          <w:kern w:val="0"/>
          <w:szCs w:val="21"/>
        </w:rPr>
        <w:t>%</w:t>
      </w:r>
      <w:r w:rsidRPr="00C41ECD">
        <w:rPr>
          <w:rFonts w:hint="eastAsia"/>
          <w:snapToGrid w:val="0"/>
          <w:kern w:val="0"/>
          <w:szCs w:val="21"/>
        </w:rPr>
        <w:t>。</w:t>
      </w:r>
    </w:p>
    <w:p w:rsidR="005E7290" w:rsidRDefault="005E7290" w:rsidP="005E7290">
      <w:pPr>
        <w:overflowPunct w:val="0"/>
        <w:spacing w:line="420" w:lineRule="exact"/>
        <w:ind w:firstLineChars="200" w:firstLine="420"/>
        <w:rPr>
          <w:snapToGrid w:val="0"/>
          <w:kern w:val="0"/>
          <w:szCs w:val="21"/>
        </w:rPr>
      </w:pPr>
    </w:p>
    <w:p w:rsidR="005E7290" w:rsidRDefault="005E7290" w:rsidP="005E7290">
      <w:pPr>
        <w:overflowPunct w:val="0"/>
        <w:spacing w:line="420" w:lineRule="exact"/>
        <w:ind w:firstLineChars="200" w:firstLine="420"/>
        <w:rPr>
          <w:snapToGrid w:val="0"/>
          <w:kern w:val="0"/>
          <w:szCs w:val="21"/>
        </w:rPr>
      </w:pPr>
    </w:p>
    <w:p w:rsidR="005E7290" w:rsidRDefault="005E7290" w:rsidP="00AF2873">
      <w:pPr>
        <w:adjustRightInd w:val="0"/>
        <w:snapToGrid w:val="0"/>
        <w:spacing w:beforeLines="50" w:before="156" w:line="360" w:lineRule="exact"/>
        <w:ind w:leftChars="200" w:left="1275" w:hangingChars="407" w:hanging="855"/>
        <w:rPr>
          <w:rFonts w:eastAsia="方正北魏楷书简体"/>
          <w:bCs/>
          <w:color w:val="000000"/>
          <w:szCs w:val="21"/>
        </w:rPr>
      </w:pPr>
      <w:r>
        <w:rPr>
          <w:rFonts w:eastAsia="方正北魏楷书简体" w:hint="eastAsia"/>
          <w:bCs/>
          <w:color w:val="000000"/>
          <w:szCs w:val="21"/>
        </w:rPr>
        <w:t>注：〔</w:t>
      </w:r>
      <w:r>
        <w:rPr>
          <w:rFonts w:eastAsia="方正北魏楷书简体"/>
          <w:bCs/>
          <w:color w:val="000000"/>
          <w:szCs w:val="21"/>
        </w:rPr>
        <w:t>1</w:t>
      </w:r>
      <w:r>
        <w:rPr>
          <w:rFonts w:eastAsia="方正北魏楷书简体" w:hint="eastAsia"/>
          <w:bCs/>
          <w:color w:val="000000"/>
          <w:szCs w:val="21"/>
        </w:rPr>
        <w:t>〕本公报数据均为初步统计数，初步数据因四舍五入的原因，存在着分项与合计不等的情况，正式数据以《克拉玛依统计年鉴</w:t>
      </w:r>
      <w:r>
        <w:rPr>
          <w:rFonts w:eastAsia="方正北魏楷书简体"/>
          <w:bCs/>
          <w:color w:val="000000"/>
          <w:szCs w:val="21"/>
        </w:rPr>
        <w:t>—20</w:t>
      </w:r>
      <w:r>
        <w:rPr>
          <w:rFonts w:eastAsia="方正北魏楷书简体" w:hint="eastAsia"/>
          <w:bCs/>
          <w:color w:val="000000"/>
          <w:szCs w:val="21"/>
        </w:rPr>
        <w:t>20</w:t>
      </w:r>
      <w:r>
        <w:rPr>
          <w:rFonts w:eastAsia="方正北魏楷书简体" w:hint="eastAsia"/>
          <w:bCs/>
          <w:color w:val="000000"/>
          <w:szCs w:val="21"/>
        </w:rPr>
        <w:t>》为准。</w:t>
      </w:r>
    </w:p>
    <w:p w:rsidR="005E7290" w:rsidRDefault="005E7290" w:rsidP="005E7290">
      <w:pPr>
        <w:adjustRightInd w:val="0"/>
        <w:snapToGrid w:val="0"/>
        <w:spacing w:line="360" w:lineRule="exact"/>
        <w:ind w:leftChars="200" w:left="1275" w:hangingChars="407" w:hanging="855"/>
        <w:rPr>
          <w:rFonts w:eastAsia="方正北魏楷书简体"/>
          <w:bCs/>
          <w:color w:val="000000"/>
          <w:szCs w:val="21"/>
        </w:rPr>
      </w:pPr>
      <w:r>
        <w:rPr>
          <w:rFonts w:eastAsia="方正北魏楷书简体"/>
          <w:bCs/>
          <w:color w:val="000000"/>
          <w:szCs w:val="21"/>
        </w:rPr>
        <w:t xml:space="preserve">   </w:t>
      </w:r>
      <w:r>
        <w:rPr>
          <w:rFonts w:eastAsia="方正北魏楷书简体" w:hint="eastAsia"/>
          <w:bCs/>
          <w:color w:val="000000"/>
          <w:szCs w:val="21"/>
        </w:rPr>
        <w:t>〔</w:t>
      </w:r>
      <w:r>
        <w:rPr>
          <w:rFonts w:eastAsia="方正北魏楷书简体"/>
          <w:bCs/>
          <w:color w:val="000000"/>
          <w:szCs w:val="21"/>
        </w:rPr>
        <w:t>2</w:t>
      </w:r>
      <w:r>
        <w:rPr>
          <w:rFonts w:eastAsia="方正北魏楷书简体" w:hint="eastAsia"/>
          <w:bCs/>
          <w:color w:val="000000"/>
          <w:szCs w:val="21"/>
        </w:rPr>
        <w:t>〕地区生产总值（</w:t>
      </w:r>
      <w:r>
        <w:rPr>
          <w:rFonts w:eastAsia="方正北魏楷书简体"/>
          <w:bCs/>
          <w:color w:val="000000"/>
          <w:szCs w:val="21"/>
        </w:rPr>
        <w:t>GDP</w:t>
      </w:r>
      <w:r>
        <w:rPr>
          <w:rFonts w:eastAsia="方正北魏楷书简体" w:hint="eastAsia"/>
          <w:bCs/>
          <w:color w:val="000000"/>
          <w:szCs w:val="21"/>
        </w:rPr>
        <w:t>）、三次产业增加值及各行业增加值指标绝对数按现价计算，增长速度按可比价格计算。</w:t>
      </w:r>
    </w:p>
    <w:p w:rsidR="005E7290" w:rsidRDefault="005E7290" w:rsidP="005E7290">
      <w:pPr>
        <w:adjustRightInd w:val="0"/>
        <w:snapToGrid w:val="0"/>
        <w:spacing w:line="360" w:lineRule="exact"/>
        <w:ind w:leftChars="200" w:left="1275" w:hangingChars="407" w:hanging="855"/>
        <w:rPr>
          <w:rFonts w:eastAsia="方正北魏楷书简体"/>
          <w:bCs/>
          <w:color w:val="000000"/>
          <w:szCs w:val="21"/>
        </w:rPr>
      </w:pPr>
      <w:r>
        <w:rPr>
          <w:rFonts w:eastAsia="方正北魏楷书简体"/>
          <w:bCs/>
          <w:color w:val="000000"/>
          <w:szCs w:val="21"/>
        </w:rPr>
        <w:t xml:space="preserve">   </w:t>
      </w:r>
      <w:r>
        <w:rPr>
          <w:rFonts w:eastAsia="方正北魏楷书简体" w:hint="eastAsia"/>
          <w:bCs/>
          <w:color w:val="000000"/>
          <w:szCs w:val="21"/>
        </w:rPr>
        <w:t>〔</w:t>
      </w:r>
      <w:r>
        <w:rPr>
          <w:rFonts w:eastAsia="方正北魏楷书简体"/>
          <w:bCs/>
          <w:color w:val="000000"/>
          <w:szCs w:val="21"/>
        </w:rPr>
        <w:t>3</w:t>
      </w:r>
      <w:r>
        <w:rPr>
          <w:rFonts w:eastAsia="方正北魏楷书简体" w:hint="eastAsia"/>
          <w:bCs/>
          <w:color w:val="000000"/>
          <w:szCs w:val="21"/>
        </w:rPr>
        <w:t>〕三次产业划分按照《国家统计局关于印发（三次产业划分规定）的通知》</w:t>
      </w:r>
      <w:r>
        <w:rPr>
          <w:rFonts w:eastAsia="方正北魏楷书简体" w:hint="eastAsia"/>
          <w:bCs/>
          <w:color w:val="000000"/>
          <w:szCs w:val="21"/>
        </w:rPr>
        <w:t xml:space="preserve"> </w:t>
      </w:r>
      <w:r>
        <w:rPr>
          <w:rFonts w:eastAsia="方正北魏楷书简体" w:hint="eastAsia"/>
          <w:bCs/>
          <w:color w:val="000000"/>
          <w:szCs w:val="21"/>
        </w:rPr>
        <w:t>国统字</w:t>
      </w:r>
      <w:r>
        <w:rPr>
          <w:rFonts w:eastAsia="方正北魏楷书简体" w:hint="eastAsia"/>
          <w:bCs/>
          <w:color w:val="000000"/>
          <w:szCs w:val="21"/>
        </w:rPr>
        <w:t>[2012]08</w:t>
      </w:r>
      <w:r>
        <w:rPr>
          <w:rFonts w:eastAsia="方正北魏楷书简体" w:hint="eastAsia"/>
          <w:bCs/>
          <w:color w:val="000000"/>
          <w:szCs w:val="21"/>
        </w:rPr>
        <w:t>号规定的标准。</w:t>
      </w:r>
    </w:p>
    <w:p w:rsidR="005E7290" w:rsidRDefault="005E7290" w:rsidP="005E7290">
      <w:pPr>
        <w:adjustRightInd w:val="0"/>
        <w:snapToGrid w:val="0"/>
        <w:spacing w:line="360" w:lineRule="exact"/>
        <w:ind w:leftChars="200" w:left="1275" w:hangingChars="407" w:hanging="855"/>
      </w:pPr>
      <w:r>
        <w:rPr>
          <w:rFonts w:eastAsia="方正北魏楷书简体"/>
          <w:bCs/>
          <w:color w:val="000000"/>
          <w:szCs w:val="21"/>
        </w:rPr>
        <w:t xml:space="preserve">   </w:t>
      </w:r>
      <w:r>
        <w:rPr>
          <w:rFonts w:eastAsia="方正北魏楷书简体" w:hint="eastAsia"/>
          <w:bCs/>
          <w:color w:val="000000"/>
          <w:szCs w:val="21"/>
        </w:rPr>
        <w:t>〔</w:t>
      </w:r>
      <w:r>
        <w:rPr>
          <w:rFonts w:eastAsia="方正北魏楷书简体"/>
          <w:bCs/>
          <w:color w:val="000000"/>
          <w:szCs w:val="21"/>
        </w:rPr>
        <w:t>4</w:t>
      </w:r>
      <w:r>
        <w:rPr>
          <w:rFonts w:eastAsia="方正北魏楷书简体" w:hint="eastAsia"/>
          <w:bCs/>
          <w:color w:val="000000"/>
          <w:szCs w:val="21"/>
        </w:rPr>
        <w:t>〕公报中部分数据</w:t>
      </w:r>
      <w:r w:rsidRPr="00D56DDC">
        <w:rPr>
          <w:rFonts w:eastAsia="方正北魏楷书简体" w:hint="eastAsia"/>
          <w:bCs/>
          <w:color w:val="000000"/>
          <w:szCs w:val="21"/>
        </w:rPr>
        <w:t>资料来源于相关部门，具体如下：交通数据来源于市交通运输局，邮电数据</w:t>
      </w:r>
      <w:r w:rsidRPr="00D56DDC">
        <w:rPr>
          <w:rFonts w:eastAsia="方正北魏楷书简体" w:hint="eastAsia"/>
          <w:bCs/>
          <w:color w:val="000000"/>
          <w:szCs w:val="21"/>
        </w:rPr>
        <w:lastRenderedPageBreak/>
        <w:t>来源于市邮政管理局、市邮政分公司，进出口数据来源于市商务局，财政数据来源于市财政局，金融数据来源于财政、银行、保险、证券等部门，教育数据来源于市教育局，科学技术数据来源于市科学技术局、市市场监督管理局，旅游、文化、体育数据来源于市文化体育广播电视和旅游局、市广播电视</w:t>
      </w:r>
      <w:r w:rsidR="00D56DDC" w:rsidRPr="00D56DDC">
        <w:rPr>
          <w:rFonts w:eastAsia="方正北魏楷书简体" w:hint="eastAsia"/>
          <w:bCs/>
          <w:color w:val="000000"/>
          <w:szCs w:val="21"/>
        </w:rPr>
        <w:t>台</w:t>
      </w:r>
      <w:r w:rsidRPr="00D56DDC">
        <w:rPr>
          <w:rFonts w:eastAsia="方正北魏楷书简体" w:hint="eastAsia"/>
          <w:bCs/>
          <w:color w:val="000000"/>
          <w:szCs w:val="21"/>
        </w:rPr>
        <w:t>，卫生数据来源于市卫生健康委员会、市医疗保障局，人口数据来源于市公安局，人民生活数据来源于国家统计局克拉玛依调查队、市农业农村局，劳动就业数据来源于市人力资源和社会保障局，生活保障数据来源于市民政局、市残联、国家税务总局克拉玛依市税务局，环保数据来源于市</w:t>
      </w:r>
      <w:r w:rsidRPr="00D56DDC">
        <w:rPr>
          <w:rFonts w:eastAsia="方正北魏楷书简体" w:hint="eastAsia"/>
          <w:bCs/>
          <w:szCs w:val="21"/>
        </w:rPr>
        <w:t>生态环境局，城建数据来源于市住房和</w:t>
      </w:r>
      <w:r>
        <w:rPr>
          <w:rFonts w:eastAsia="方正北魏楷书简体" w:hint="eastAsia"/>
          <w:bCs/>
          <w:szCs w:val="21"/>
        </w:rPr>
        <w:t>城乡建设局，安</w:t>
      </w:r>
      <w:r>
        <w:rPr>
          <w:rFonts w:eastAsia="方正北魏楷书简体" w:hint="eastAsia"/>
          <w:bCs/>
          <w:color w:val="000000"/>
          <w:szCs w:val="21"/>
        </w:rPr>
        <w:t>全生产数据来源于市应急管理局。</w:t>
      </w:r>
    </w:p>
    <w:p w:rsidR="005E7290" w:rsidRPr="005E7290" w:rsidRDefault="005E7290" w:rsidP="00F50C27">
      <w:pPr>
        <w:adjustRightInd w:val="0"/>
        <w:snapToGrid w:val="0"/>
        <w:spacing w:beforeLines="50" w:before="156" w:afterLines="50" w:after="156" w:line="400" w:lineRule="exact"/>
        <w:ind w:firstLineChars="200" w:firstLine="480"/>
        <w:rPr>
          <w:rFonts w:eastAsia="方正黑体简体"/>
          <w:color w:val="000000"/>
          <w:sz w:val="24"/>
          <w:highlight w:val="yellow"/>
        </w:rPr>
      </w:pPr>
    </w:p>
    <w:sectPr w:rsidR="005E7290" w:rsidRPr="005E7290" w:rsidSect="00AA5926">
      <w:pgSz w:w="11906" w:h="16838"/>
      <w:pgMar w:top="1701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93" w:rsidRDefault="005E6793" w:rsidP="008D28E0">
      <w:r>
        <w:separator/>
      </w:r>
    </w:p>
  </w:endnote>
  <w:endnote w:type="continuationSeparator" w:id="0">
    <w:p w:rsidR="005E6793" w:rsidRDefault="005E6793" w:rsidP="008D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北魏楷书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宋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93" w:rsidRDefault="005E6793" w:rsidP="008D28E0">
      <w:r>
        <w:separator/>
      </w:r>
    </w:p>
  </w:footnote>
  <w:footnote w:type="continuationSeparator" w:id="0">
    <w:p w:rsidR="005E6793" w:rsidRDefault="005E6793" w:rsidP="008D2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612"/>
    <w:rsid w:val="0000050D"/>
    <w:rsid w:val="00000F71"/>
    <w:rsid w:val="00003BEE"/>
    <w:rsid w:val="00005418"/>
    <w:rsid w:val="00013F8B"/>
    <w:rsid w:val="00014280"/>
    <w:rsid w:val="000207F0"/>
    <w:rsid w:val="00020DEC"/>
    <w:rsid w:val="000229D6"/>
    <w:rsid w:val="0002389A"/>
    <w:rsid w:val="00026A24"/>
    <w:rsid w:val="00036117"/>
    <w:rsid w:val="00036E36"/>
    <w:rsid w:val="00040283"/>
    <w:rsid w:val="00044E46"/>
    <w:rsid w:val="00046E0F"/>
    <w:rsid w:val="0005159C"/>
    <w:rsid w:val="00052DC7"/>
    <w:rsid w:val="00054C71"/>
    <w:rsid w:val="00057FCD"/>
    <w:rsid w:val="00067234"/>
    <w:rsid w:val="00071B9B"/>
    <w:rsid w:val="000725A7"/>
    <w:rsid w:val="00074322"/>
    <w:rsid w:val="00075523"/>
    <w:rsid w:val="00077842"/>
    <w:rsid w:val="00080119"/>
    <w:rsid w:val="00082674"/>
    <w:rsid w:val="00084393"/>
    <w:rsid w:val="00084868"/>
    <w:rsid w:val="0008799F"/>
    <w:rsid w:val="0009034E"/>
    <w:rsid w:val="00095060"/>
    <w:rsid w:val="00096BCB"/>
    <w:rsid w:val="000A25BB"/>
    <w:rsid w:val="000A39B9"/>
    <w:rsid w:val="000A5630"/>
    <w:rsid w:val="000B2849"/>
    <w:rsid w:val="000B2CD0"/>
    <w:rsid w:val="000C2068"/>
    <w:rsid w:val="000C395E"/>
    <w:rsid w:val="000C7CA9"/>
    <w:rsid w:val="000D1291"/>
    <w:rsid w:val="000D1639"/>
    <w:rsid w:val="000D2584"/>
    <w:rsid w:val="000E0103"/>
    <w:rsid w:val="000E146B"/>
    <w:rsid w:val="000E1D38"/>
    <w:rsid w:val="000F6AAB"/>
    <w:rsid w:val="000F7043"/>
    <w:rsid w:val="0010295A"/>
    <w:rsid w:val="001067E7"/>
    <w:rsid w:val="00107280"/>
    <w:rsid w:val="0011370B"/>
    <w:rsid w:val="00115180"/>
    <w:rsid w:val="00115FAF"/>
    <w:rsid w:val="0011639D"/>
    <w:rsid w:val="00120801"/>
    <w:rsid w:val="001225FF"/>
    <w:rsid w:val="00126D0F"/>
    <w:rsid w:val="00127112"/>
    <w:rsid w:val="0013008B"/>
    <w:rsid w:val="00130A50"/>
    <w:rsid w:val="0014161A"/>
    <w:rsid w:val="00142947"/>
    <w:rsid w:val="00142F06"/>
    <w:rsid w:val="00144007"/>
    <w:rsid w:val="00146EF3"/>
    <w:rsid w:val="001540F2"/>
    <w:rsid w:val="00156A13"/>
    <w:rsid w:val="00160313"/>
    <w:rsid w:val="00160595"/>
    <w:rsid w:val="001611E7"/>
    <w:rsid w:val="00166566"/>
    <w:rsid w:val="00175840"/>
    <w:rsid w:val="00180A35"/>
    <w:rsid w:val="001817D6"/>
    <w:rsid w:val="00184A80"/>
    <w:rsid w:val="001946ED"/>
    <w:rsid w:val="00195FB1"/>
    <w:rsid w:val="00196F14"/>
    <w:rsid w:val="001A03AD"/>
    <w:rsid w:val="001A5585"/>
    <w:rsid w:val="001B06F2"/>
    <w:rsid w:val="001B4298"/>
    <w:rsid w:val="001C2187"/>
    <w:rsid w:val="001C24B0"/>
    <w:rsid w:val="001C50E4"/>
    <w:rsid w:val="001D2372"/>
    <w:rsid w:val="001E1495"/>
    <w:rsid w:val="001E1E41"/>
    <w:rsid w:val="001E79F7"/>
    <w:rsid w:val="001E7E19"/>
    <w:rsid w:val="001F0E5F"/>
    <w:rsid w:val="001F3BBD"/>
    <w:rsid w:val="001F4E9C"/>
    <w:rsid w:val="001F57BC"/>
    <w:rsid w:val="001F787E"/>
    <w:rsid w:val="001F7B93"/>
    <w:rsid w:val="00206633"/>
    <w:rsid w:val="00207F80"/>
    <w:rsid w:val="00211D59"/>
    <w:rsid w:val="00211E4F"/>
    <w:rsid w:val="00212081"/>
    <w:rsid w:val="00213346"/>
    <w:rsid w:val="002160E1"/>
    <w:rsid w:val="002173E4"/>
    <w:rsid w:val="00220535"/>
    <w:rsid w:val="00221873"/>
    <w:rsid w:val="002245D3"/>
    <w:rsid w:val="002252FD"/>
    <w:rsid w:val="00226295"/>
    <w:rsid w:val="002274C2"/>
    <w:rsid w:val="002277D9"/>
    <w:rsid w:val="00230741"/>
    <w:rsid w:val="00233413"/>
    <w:rsid w:val="002405D3"/>
    <w:rsid w:val="00245751"/>
    <w:rsid w:val="002461BB"/>
    <w:rsid w:val="00247255"/>
    <w:rsid w:val="002472B6"/>
    <w:rsid w:val="00250318"/>
    <w:rsid w:val="002527F8"/>
    <w:rsid w:val="00254B8A"/>
    <w:rsid w:val="00262324"/>
    <w:rsid w:val="002632FD"/>
    <w:rsid w:val="00263BFD"/>
    <w:rsid w:val="0027113E"/>
    <w:rsid w:val="00271F53"/>
    <w:rsid w:val="00272BD5"/>
    <w:rsid w:val="002754DE"/>
    <w:rsid w:val="00277DF6"/>
    <w:rsid w:val="00282775"/>
    <w:rsid w:val="00283B67"/>
    <w:rsid w:val="00292525"/>
    <w:rsid w:val="002953A9"/>
    <w:rsid w:val="002A22E8"/>
    <w:rsid w:val="002A3070"/>
    <w:rsid w:val="002A33B9"/>
    <w:rsid w:val="002A7212"/>
    <w:rsid w:val="002B22F3"/>
    <w:rsid w:val="002B38A2"/>
    <w:rsid w:val="002B3A04"/>
    <w:rsid w:val="002B3FF5"/>
    <w:rsid w:val="002B5C7C"/>
    <w:rsid w:val="002B6BD1"/>
    <w:rsid w:val="002B7E4C"/>
    <w:rsid w:val="002C262B"/>
    <w:rsid w:val="002C2BFE"/>
    <w:rsid w:val="002C2D1A"/>
    <w:rsid w:val="002D01C1"/>
    <w:rsid w:val="002D3BA3"/>
    <w:rsid w:val="002D4517"/>
    <w:rsid w:val="002D51EC"/>
    <w:rsid w:val="002E1F86"/>
    <w:rsid w:val="002F3BE9"/>
    <w:rsid w:val="003001D6"/>
    <w:rsid w:val="003003E7"/>
    <w:rsid w:val="00302A40"/>
    <w:rsid w:val="003161FE"/>
    <w:rsid w:val="0031730C"/>
    <w:rsid w:val="0032737A"/>
    <w:rsid w:val="00327AEF"/>
    <w:rsid w:val="00336DCB"/>
    <w:rsid w:val="00344B7C"/>
    <w:rsid w:val="00347BC1"/>
    <w:rsid w:val="0035532B"/>
    <w:rsid w:val="00356A4F"/>
    <w:rsid w:val="0035715A"/>
    <w:rsid w:val="003611A1"/>
    <w:rsid w:val="00363EA6"/>
    <w:rsid w:val="003716F2"/>
    <w:rsid w:val="003721D5"/>
    <w:rsid w:val="00391C57"/>
    <w:rsid w:val="003A0783"/>
    <w:rsid w:val="003A2B8A"/>
    <w:rsid w:val="003A5DAA"/>
    <w:rsid w:val="003A742A"/>
    <w:rsid w:val="003C5F6C"/>
    <w:rsid w:val="003C7269"/>
    <w:rsid w:val="003D0915"/>
    <w:rsid w:val="003D3435"/>
    <w:rsid w:val="003D3FAF"/>
    <w:rsid w:val="003E50E0"/>
    <w:rsid w:val="003E776E"/>
    <w:rsid w:val="003F045B"/>
    <w:rsid w:val="003F1B70"/>
    <w:rsid w:val="003F3437"/>
    <w:rsid w:val="003F68BC"/>
    <w:rsid w:val="00400045"/>
    <w:rsid w:val="00401334"/>
    <w:rsid w:val="00402849"/>
    <w:rsid w:val="004032AB"/>
    <w:rsid w:val="00403720"/>
    <w:rsid w:val="004100F4"/>
    <w:rsid w:val="004148E6"/>
    <w:rsid w:val="004164B8"/>
    <w:rsid w:val="004202D3"/>
    <w:rsid w:val="0042207D"/>
    <w:rsid w:val="004231DD"/>
    <w:rsid w:val="004270C7"/>
    <w:rsid w:val="004321F8"/>
    <w:rsid w:val="0043479E"/>
    <w:rsid w:val="00444593"/>
    <w:rsid w:val="00445D99"/>
    <w:rsid w:val="00451732"/>
    <w:rsid w:val="00457390"/>
    <w:rsid w:val="00457C27"/>
    <w:rsid w:val="0046087C"/>
    <w:rsid w:val="00465593"/>
    <w:rsid w:val="00470C0E"/>
    <w:rsid w:val="00476258"/>
    <w:rsid w:val="00477C66"/>
    <w:rsid w:val="0048197D"/>
    <w:rsid w:val="004840D5"/>
    <w:rsid w:val="004850A2"/>
    <w:rsid w:val="00487276"/>
    <w:rsid w:val="00491013"/>
    <w:rsid w:val="00494740"/>
    <w:rsid w:val="00495815"/>
    <w:rsid w:val="004A2015"/>
    <w:rsid w:val="004A230F"/>
    <w:rsid w:val="004A3421"/>
    <w:rsid w:val="004B0F99"/>
    <w:rsid w:val="004B2C45"/>
    <w:rsid w:val="004B31F1"/>
    <w:rsid w:val="004B44EF"/>
    <w:rsid w:val="004B5D01"/>
    <w:rsid w:val="004B64C4"/>
    <w:rsid w:val="004C3D92"/>
    <w:rsid w:val="004C48CF"/>
    <w:rsid w:val="004D0778"/>
    <w:rsid w:val="004D1AEF"/>
    <w:rsid w:val="004D2CF2"/>
    <w:rsid w:val="004D4818"/>
    <w:rsid w:val="004D67BA"/>
    <w:rsid w:val="004E01BC"/>
    <w:rsid w:val="004E1257"/>
    <w:rsid w:val="004E2381"/>
    <w:rsid w:val="004E376A"/>
    <w:rsid w:val="004E704C"/>
    <w:rsid w:val="004F2F0A"/>
    <w:rsid w:val="004F73DF"/>
    <w:rsid w:val="004F75D4"/>
    <w:rsid w:val="005019BE"/>
    <w:rsid w:val="00510BBD"/>
    <w:rsid w:val="005112CD"/>
    <w:rsid w:val="005117B0"/>
    <w:rsid w:val="0051214E"/>
    <w:rsid w:val="00532DC6"/>
    <w:rsid w:val="00533B42"/>
    <w:rsid w:val="00540D47"/>
    <w:rsid w:val="00540DB1"/>
    <w:rsid w:val="00543881"/>
    <w:rsid w:val="0054441E"/>
    <w:rsid w:val="005462F7"/>
    <w:rsid w:val="005475C9"/>
    <w:rsid w:val="00560E56"/>
    <w:rsid w:val="00563BB0"/>
    <w:rsid w:val="00564A8B"/>
    <w:rsid w:val="00565024"/>
    <w:rsid w:val="00570A26"/>
    <w:rsid w:val="00570F76"/>
    <w:rsid w:val="00571C52"/>
    <w:rsid w:val="00574297"/>
    <w:rsid w:val="00574903"/>
    <w:rsid w:val="00575D11"/>
    <w:rsid w:val="0058563C"/>
    <w:rsid w:val="005866E8"/>
    <w:rsid w:val="00586835"/>
    <w:rsid w:val="00592A73"/>
    <w:rsid w:val="00595400"/>
    <w:rsid w:val="005A37A0"/>
    <w:rsid w:val="005A39B8"/>
    <w:rsid w:val="005A4E23"/>
    <w:rsid w:val="005A6078"/>
    <w:rsid w:val="005A6AA8"/>
    <w:rsid w:val="005A73EF"/>
    <w:rsid w:val="005B226A"/>
    <w:rsid w:val="005B495E"/>
    <w:rsid w:val="005B62DD"/>
    <w:rsid w:val="005B7A4F"/>
    <w:rsid w:val="005C32DD"/>
    <w:rsid w:val="005C7647"/>
    <w:rsid w:val="005D0713"/>
    <w:rsid w:val="005D4CA7"/>
    <w:rsid w:val="005D4CB7"/>
    <w:rsid w:val="005E28EC"/>
    <w:rsid w:val="005E6793"/>
    <w:rsid w:val="005E7290"/>
    <w:rsid w:val="005E744E"/>
    <w:rsid w:val="005F55D3"/>
    <w:rsid w:val="005F5D1A"/>
    <w:rsid w:val="005F6CBE"/>
    <w:rsid w:val="006002F5"/>
    <w:rsid w:val="006015C3"/>
    <w:rsid w:val="006076F4"/>
    <w:rsid w:val="00611181"/>
    <w:rsid w:val="00611BBC"/>
    <w:rsid w:val="00612C2A"/>
    <w:rsid w:val="0061308A"/>
    <w:rsid w:val="00613776"/>
    <w:rsid w:val="00621732"/>
    <w:rsid w:val="00626E02"/>
    <w:rsid w:val="00626EA8"/>
    <w:rsid w:val="00633475"/>
    <w:rsid w:val="006342BE"/>
    <w:rsid w:val="00636B44"/>
    <w:rsid w:val="006460F2"/>
    <w:rsid w:val="00651AF2"/>
    <w:rsid w:val="0065356D"/>
    <w:rsid w:val="00654D92"/>
    <w:rsid w:val="00655AD1"/>
    <w:rsid w:val="006625A6"/>
    <w:rsid w:val="00666513"/>
    <w:rsid w:val="00667633"/>
    <w:rsid w:val="00681FCD"/>
    <w:rsid w:val="00683FC8"/>
    <w:rsid w:val="00684038"/>
    <w:rsid w:val="006869F2"/>
    <w:rsid w:val="00693185"/>
    <w:rsid w:val="0069545D"/>
    <w:rsid w:val="0069646D"/>
    <w:rsid w:val="006A643D"/>
    <w:rsid w:val="006A7D9B"/>
    <w:rsid w:val="006B5737"/>
    <w:rsid w:val="006C0FD8"/>
    <w:rsid w:val="006C2F6A"/>
    <w:rsid w:val="006C6D96"/>
    <w:rsid w:val="006D016A"/>
    <w:rsid w:val="006D5DD1"/>
    <w:rsid w:val="006E0A7E"/>
    <w:rsid w:val="006E2B3D"/>
    <w:rsid w:val="006E2E1A"/>
    <w:rsid w:val="006E6B85"/>
    <w:rsid w:val="006E6F4C"/>
    <w:rsid w:val="006F0D9B"/>
    <w:rsid w:val="006F39D2"/>
    <w:rsid w:val="006F6E3E"/>
    <w:rsid w:val="00701731"/>
    <w:rsid w:val="00703687"/>
    <w:rsid w:val="0071009D"/>
    <w:rsid w:val="00712200"/>
    <w:rsid w:val="00713EBA"/>
    <w:rsid w:val="007156E6"/>
    <w:rsid w:val="00716B61"/>
    <w:rsid w:val="00716C4B"/>
    <w:rsid w:val="007208E5"/>
    <w:rsid w:val="00721FB9"/>
    <w:rsid w:val="0072485E"/>
    <w:rsid w:val="00724E1C"/>
    <w:rsid w:val="0073032C"/>
    <w:rsid w:val="00732720"/>
    <w:rsid w:val="00734AAA"/>
    <w:rsid w:val="007402AA"/>
    <w:rsid w:val="00750AC9"/>
    <w:rsid w:val="00752417"/>
    <w:rsid w:val="00755713"/>
    <w:rsid w:val="00763F4C"/>
    <w:rsid w:val="00765651"/>
    <w:rsid w:val="00767D40"/>
    <w:rsid w:val="00767EA3"/>
    <w:rsid w:val="007749AB"/>
    <w:rsid w:val="0078431F"/>
    <w:rsid w:val="00784608"/>
    <w:rsid w:val="00785505"/>
    <w:rsid w:val="00787818"/>
    <w:rsid w:val="007910B2"/>
    <w:rsid w:val="00791168"/>
    <w:rsid w:val="0079136F"/>
    <w:rsid w:val="00791F97"/>
    <w:rsid w:val="00794D13"/>
    <w:rsid w:val="007A0432"/>
    <w:rsid w:val="007A05D6"/>
    <w:rsid w:val="007A26F3"/>
    <w:rsid w:val="007A3478"/>
    <w:rsid w:val="007B0A45"/>
    <w:rsid w:val="007B1D87"/>
    <w:rsid w:val="007B4562"/>
    <w:rsid w:val="007C17D8"/>
    <w:rsid w:val="007C1A57"/>
    <w:rsid w:val="007D39A7"/>
    <w:rsid w:val="007E22C4"/>
    <w:rsid w:val="007E47AD"/>
    <w:rsid w:val="007E74F0"/>
    <w:rsid w:val="007E7D32"/>
    <w:rsid w:val="007F1F76"/>
    <w:rsid w:val="007F426B"/>
    <w:rsid w:val="008016A6"/>
    <w:rsid w:val="00810C5E"/>
    <w:rsid w:val="00810E96"/>
    <w:rsid w:val="008118CB"/>
    <w:rsid w:val="00812317"/>
    <w:rsid w:val="00812E0E"/>
    <w:rsid w:val="008147D5"/>
    <w:rsid w:val="00816384"/>
    <w:rsid w:val="00817FB3"/>
    <w:rsid w:val="0082486E"/>
    <w:rsid w:val="00824FF8"/>
    <w:rsid w:val="00825A99"/>
    <w:rsid w:val="00825C32"/>
    <w:rsid w:val="00826FC4"/>
    <w:rsid w:val="008275B4"/>
    <w:rsid w:val="00827F11"/>
    <w:rsid w:val="00833CE8"/>
    <w:rsid w:val="00834A4C"/>
    <w:rsid w:val="00835364"/>
    <w:rsid w:val="0084255D"/>
    <w:rsid w:val="00847CE5"/>
    <w:rsid w:val="008574FF"/>
    <w:rsid w:val="0086043E"/>
    <w:rsid w:val="00865DAF"/>
    <w:rsid w:val="008720A2"/>
    <w:rsid w:val="008724AB"/>
    <w:rsid w:val="00872ACA"/>
    <w:rsid w:val="00873D0D"/>
    <w:rsid w:val="00875506"/>
    <w:rsid w:val="008772E9"/>
    <w:rsid w:val="0088557F"/>
    <w:rsid w:val="00893103"/>
    <w:rsid w:val="00894260"/>
    <w:rsid w:val="00897126"/>
    <w:rsid w:val="008A1FE5"/>
    <w:rsid w:val="008A5733"/>
    <w:rsid w:val="008B2CFB"/>
    <w:rsid w:val="008B3E46"/>
    <w:rsid w:val="008B438B"/>
    <w:rsid w:val="008B7BC1"/>
    <w:rsid w:val="008C0ACF"/>
    <w:rsid w:val="008C42A1"/>
    <w:rsid w:val="008C4E4A"/>
    <w:rsid w:val="008C7812"/>
    <w:rsid w:val="008D2493"/>
    <w:rsid w:val="008D28E0"/>
    <w:rsid w:val="008E1E58"/>
    <w:rsid w:val="008E426D"/>
    <w:rsid w:val="008E45CA"/>
    <w:rsid w:val="008E4FF8"/>
    <w:rsid w:val="008F2F73"/>
    <w:rsid w:val="008F3511"/>
    <w:rsid w:val="00903332"/>
    <w:rsid w:val="00905F9E"/>
    <w:rsid w:val="0090619E"/>
    <w:rsid w:val="009118F0"/>
    <w:rsid w:val="00912925"/>
    <w:rsid w:val="00914978"/>
    <w:rsid w:val="00920C5D"/>
    <w:rsid w:val="00921A71"/>
    <w:rsid w:val="0093014E"/>
    <w:rsid w:val="009311A9"/>
    <w:rsid w:val="009371CB"/>
    <w:rsid w:val="009376A3"/>
    <w:rsid w:val="0094742A"/>
    <w:rsid w:val="00960289"/>
    <w:rsid w:val="00961821"/>
    <w:rsid w:val="009650A1"/>
    <w:rsid w:val="009654EB"/>
    <w:rsid w:val="00965895"/>
    <w:rsid w:val="009661C5"/>
    <w:rsid w:val="00971F97"/>
    <w:rsid w:val="00972AAC"/>
    <w:rsid w:val="00976B2A"/>
    <w:rsid w:val="0097767A"/>
    <w:rsid w:val="0098021D"/>
    <w:rsid w:val="009837DF"/>
    <w:rsid w:val="00983E62"/>
    <w:rsid w:val="00985360"/>
    <w:rsid w:val="00994E65"/>
    <w:rsid w:val="0099567F"/>
    <w:rsid w:val="009958DF"/>
    <w:rsid w:val="009A10E1"/>
    <w:rsid w:val="009A250B"/>
    <w:rsid w:val="009A2606"/>
    <w:rsid w:val="009A49E5"/>
    <w:rsid w:val="009A6DC5"/>
    <w:rsid w:val="009B15AF"/>
    <w:rsid w:val="009B1B76"/>
    <w:rsid w:val="009B60EA"/>
    <w:rsid w:val="009C0BA6"/>
    <w:rsid w:val="009C3949"/>
    <w:rsid w:val="009C3A55"/>
    <w:rsid w:val="009C5FD0"/>
    <w:rsid w:val="009D0720"/>
    <w:rsid w:val="009D332A"/>
    <w:rsid w:val="009D461A"/>
    <w:rsid w:val="009D62A2"/>
    <w:rsid w:val="009D6CC6"/>
    <w:rsid w:val="009E4680"/>
    <w:rsid w:val="009E491A"/>
    <w:rsid w:val="009E6641"/>
    <w:rsid w:val="009F1105"/>
    <w:rsid w:val="009F1E68"/>
    <w:rsid w:val="009F2B67"/>
    <w:rsid w:val="009F430C"/>
    <w:rsid w:val="00A01FE7"/>
    <w:rsid w:val="00A0793C"/>
    <w:rsid w:val="00A11A6B"/>
    <w:rsid w:val="00A1240C"/>
    <w:rsid w:val="00A124A2"/>
    <w:rsid w:val="00A138A2"/>
    <w:rsid w:val="00A15727"/>
    <w:rsid w:val="00A219C6"/>
    <w:rsid w:val="00A23435"/>
    <w:rsid w:val="00A276AA"/>
    <w:rsid w:val="00A31A5E"/>
    <w:rsid w:val="00A33C5D"/>
    <w:rsid w:val="00A3592C"/>
    <w:rsid w:val="00A3672C"/>
    <w:rsid w:val="00A3716D"/>
    <w:rsid w:val="00A37D0F"/>
    <w:rsid w:val="00A40F84"/>
    <w:rsid w:val="00A40FDB"/>
    <w:rsid w:val="00A468DE"/>
    <w:rsid w:val="00A47638"/>
    <w:rsid w:val="00A47765"/>
    <w:rsid w:val="00A56A90"/>
    <w:rsid w:val="00A603FB"/>
    <w:rsid w:val="00A65C8E"/>
    <w:rsid w:val="00A7046E"/>
    <w:rsid w:val="00A71E5C"/>
    <w:rsid w:val="00A72F9C"/>
    <w:rsid w:val="00A7578B"/>
    <w:rsid w:val="00A8013A"/>
    <w:rsid w:val="00A80E41"/>
    <w:rsid w:val="00A8133C"/>
    <w:rsid w:val="00A82760"/>
    <w:rsid w:val="00A84A71"/>
    <w:rsid w:val="00A86E6C"/>
    <w:rsid w:val="00A90696"/>
    <w:rsid w:val="00A94008"/>
    <w:rsid w:val="00AA306C"/>
    <w:rsid w:val="00AA5926"/>
    <w:rsid w:val="00AB20B5"/>
    <w:rsid w:val="00AB673D"/>
    <w:rsid w:val="00AC26E7"/>
    <w:rsid w:val="00AC51F5"/>
    <w:rsid w:val="00AC6BFB"/>
    <w:rsid w:val="00AC7D41"/>
    <w:rsid w:val="00AD2B0F"/>
    <w:rsid w:val="00AD4667"/>
    <w:rsid w:val="00AD623E"/>
    <w:rsid w:val="00AD7DCD"/>
    <w:rsid w:val="00AE6325"/>
    <w:rsid w:val="00AF1491"/>
    <w:rsid w:val="00AF1F4F"/>
    <w:rsid w:val="00AF1FA9"/>
    <w:rsid w:val="00AF222D"/>
    <w:rsid w:val="00AF2873"/>
    <w:rsid w:val="00AF629B"/>
    <w:rsid w:val="00AF6C39"/>
    <w:rsid w:val="00AF70A2"/>
    <w:rsid w:val="00AF7DF7"/>
    <w:rsid w:val="00B01D20"/>
    <w:rsid w:val="00B039A0"/>
    <w:rsid w:val="00B04CE5"/>
    <w:rsid w:val="00B103AF"/>
    <w:rsid w:val="00B10E69"/>
    <w:rsid w:val="00B125A5"/>
    <w:rsid w:val="00B13C4A"/>
    <w:rsid w:val="00B2052B"/>
    <w:rsid w:val="00B20C49"/>
    <w:rsid w:val="00B24C32"/>
    <w:rsid w:val="00B26D3F"/>
    <w:rsid w:val="00B30552"/>
    <w:rsid w:val="00B3277D"/>
    <w:rsid w:val="00B32811"/>
    <w:rsid w:val="00B40A9E"/>
    <w:rsid w:val="00B437C9"/>
    <w:rsid w:val="00B44EB7"/>
    <w:rsid w:val="00B46384"/>
    <w:rsid w:val="00B50976"/>
    <w:rsid w:val="00B52FB3"/>
    <w:rsid w:val="00B54416"/>
    <w:rsid w:val="00B54884"/>
    <w:rsid w:val="00B54DEA"/>
    <w:rsid w:val="00B6440B"/>
    <w:rsid w:val="00B65380"/>
    <w:rsid w:val="00B65743"/>
    <w:rsid w:val="00B72026"/>
    <w:rsid w:val="00B76872"/>
    <w:rsid w:val="00B8194B"/>
    <w:rsid w:val="00B83F36"/>
    <w:rsid w:val="00B8449E"/>
    <w:rsid w:val="00B85161"/>
    <w:rsid w:val="00B870CA"/>
    <w:rsid w:val="00B94F7A"/>
    <w:rsid w:val="00B95361"/>
    <w:rsid w:val="00B95D64"/>
    <w:rsid w:val="00B9693B"/>
    <w:rsid w:val="00B97C8C"/>
    <w:rsid w:val="00BA047B"/>
    <w:rsid w:val="00BA2CAE"/>
    <w:rsid w:val="00BB119D"/>
    <w:rsid w:val="00BB3434"/>
    <w:rsid w:val="00BB415A"/>
    <w:rsid w:val="00BB6794"/>
    <w:rsid w:val="00BC0D3B"/>
    <w:rsid w:val="00BC181E"/>
    <w:rsid w:val="00BC1DBA"/>
    <w:rsid w:val="00BC3AEF"/>
    <w:rsid w:val="00BC7718"/>
    <w:rsid w:val="00BE0334"/>
    <w:rsid w:val="00BE27AB"/>
    <w:rsid w:val="00BE3319"/>
    <w:rsid w:val="00BE58F5"/>
    <w:rsid w:val="00BE7263"/>
    <w:rsid w:val="00C02ADB"/>
    <w:rsid w:val="00C02CED"/>
    <w:rsid w:val="00C035F8"/>
    <w:rsid w:val="00C053AF"/>
    <w:rsid w:val="00C05EEA"/>
    <w:rsid w:val="00C06551"/>
    <w:rsid w:val="00C11498"/>
    <w:rsid w:val="00C166AF"/>
    <w:rsid w:val="00C171B2"/>
    <w:rsid w:val="00C20D27"/>
    <w:rsid w:val="00C21D26"/>
    <w:rsid w:val="00C22AD2"/>
    <w:rsid w:val="00C239DC"/>
    <w:rsid w:val="00C26591"/>
    <w:rsid w:val="00C2768A"/>
    <w:rsid w:val="00C308AD"/>
    <w:rsid w:val="00C3173F"/>
    <w:rsid w:val="00C325CD"/>
    <w:rsid w:val="00C33EA3"/>
    <w:rsid w:val="00C40C95"/>
    <w:rsid w:val="00C41ECD"/>
    <w:rsid w:val="00C41F73"/>
    <w:rsid w:val="00C4278D"/>
    <w:rsid w:val="00C556DB"/>
    <w:rsid w:val="00C57581"/>
    <w:rsid w:val="00C6514F"/>
    <w:rsid w:val="00C70205"/>
    <w:rsid w:val="00C7342D"/>
    <w:rsid w:val="00C76EA8"/>
    <w:rsid w:val="00C806DF"/>
    <w:rsid w:val="00C86058"/>
    <w:rsid w:val="00C9690D"/>
    <w:rsid w:val="00C9696A"/>
    <w:rsid w:val="00CA3EEE"/>
    <w:rsid w:val="00CA44BC"/>
    <w:rsid w:val="00CA506D"/>
    <w:rsid w:val="00CA5740"/>
    <w:rsid w:val="00CA5C28"/>
    <w:rsid w:val="00CA67AE"/>
    <w:rsid w:val="00CB28F4"/>
    <w:rsid w:val="00CB5DAB"/>
    <w:rsid w:val="00CB7D27"/>
    <w:rsid w:val="00CC2F87"/>
    <w:rsid w:val="00CD0890"/>
    <w:rsid w:val="00CD216D"/>
    <w:rsid w:val="00CD7C58"/>
    <w:rsid w:val="00CE2D04"/>
    <w:rsid w:val="00CF269C"/>
    <w:rsid w:val="00CF4180"/>
    <w:rsid w:val="00CF4495"/>
    <w:rsid w:val="00CF4FC3"/>
    <w:rsid w:val="00D0027D"/>
    <w:rsid w:val="00D079F2"/>
    <w:rsid w:val="00D07E57"/>
    <w:rsid w:val="00D1064D"/>
    <w:rsid w:val="00D1107C"/>
    <w:rsid w:val="00D221C2"/>
    <w:rsid w:val="00D32133"/>
    <w:rsid w:val="00D33FC8"/>
    <w:rsid w:val="00D35DA9"/>
    <w:rsid w:val="00D4174D"/>
    <w:rsid w:val="00D42DA6"/>
    <w:rsid w:val="00D529EC"/>
    <w:rsid w:val="00D531E6"/>
    <w:rsid w:val="00D53838"/>
    <w:rsid w:val="00D56DDC"/>
    <w:rsid w:val="00D6788A"/>
    <w:rsid w:val="00D70AB7"/>
    <w:rsid w:val="00D7458F"/>
    <w:rsid w:val="00D764E4"/>
    <w:rsid w:val="00D809DD"/>
    <w:rsid w:val="00D8106A"/>
    <w:rsid w:val="00D81CC4"/>
    <w:rsid w:val="00D84153"/>
    <w:rsid w:val="00D8533C"/>
    <w:rsid w:val="00D85371"/>
    <w:rsid w:val="00D8706F"/>
    <w:rsid w:val="00D91ADF"/>
    <w:rsid w:val="00D9369E"/>
    <w:rsid w:val="00D9374A"/>
    <w:rsid w:val="00D966E3"/>
    <w:rsid w:val="00DA3191"/>
    <w:rsid w:val="00DA369C"/>
    <w:rsid w:val="00DA49B5"/>
    <w:rsid w:val="00DA720C"/>
    <w:rsid w:val="00DB0B9B"/>
    <w:rsid w:val="00DB7C3C"/>
    <w:rsid w:val="00DC3FBF"/>
    <w:rsid w:val="00DD5466"/>
    <w:rsid w:val="00DE02CB"/>
    <w:rsid w:val="00DE1885"/>
    <w:rsid w:val="00DE3BA6"/>
    <w:rsid w:val="00DF01A7"/>
    <w:rsid w:val="00DF15F4"/>
    <w:rsid w:val="00DF3DB3"/>
    <w:rsid w:val="00DF4602"/>
    <w:rsid w:val="00DF578D"/>
    <w:rsid w:val="00DF7D6E"/>
    <w:rsid w:val="00E00499"/>
    <w:rsid w:val="00E03255"/>
    <w:rsid w:val="00E04E6D"/>
    <w:rsid w:val="00E05085"/>
    <w:rsid w:val="00E05F1B"/>
    <w:rsid w:val="00E17FD5"/>
    <w:rsid w:val="00E216C3"/>
    <w:rsid w:val="00E22046"/>
    <w:rsid w:val="00E23371"/>
    <w:rsid w:val="00E25435"/>
    <w:rsid w:val="00E259CE"/>
    <w:rsid w:val="00E33FC5"/>
    <w:rsid w:val="00E36C7C"/>
    <w:rsid w:val="00E4113A"/>
    <w:rsid w:val="00E4333B"/>
    <w:rsid w:val="00E446CA"/>
    <w:rsid w:val="00E44C8E"/>
    <w:rsid w:val="00E451BE"/>
    <w:rsid w:val="00E46D8F"/>
    <w:rsid w:val="00E5336F"/>
    <w:rsid w:val="00E551CB"/>
    <w:rsid w:val="00E57D9F"/>
    <w:rsid w:val="00E605F5"/>
    <w:rsid w:val="00E60B98"/>
    <w:rsid w:val="00E6298D"/>
    <w:rsid w:val="00E63586"/>
    <w:rsid w:val="00E71D74"/>
    <w:rsid w:val="00E7516C"/>
    <w:rsid w:val="00E77289"/>
    <w:rsid w:val="00E8075D"/>
    <w:rsid w:val="00E81C42"/>
    <w:rsid w:val="00E84487"/>
    <w:rsid w:val="00E8564C"/>
    <w:rsid w:val="00E8677A"/>
    <w:rsid w:val="00E92966"/>
    <w:rsid w:val="00E97A62"/>
    <w:rsid w:val="00EA07AE"/>
    <w:rsid w:val="00EA25F2"/>
    <w:rsid w:val="00EA2705"/>
    <w:rsid w:val="00EA371E"/>
    <w:rsid w:val="00EA54D0"/>
    <w:rsid w:val="00EB2FD0"/>
    <w:rsid w:val="00EB5804"/>
    <w:rsid w:val="00EC4533"/>
    <w:rsid w:val="00EC56C2"/>
    <w:rsid w:val="00EC63AA"/>
    <w:rsid w:val="00EC6C9F"/>
    <w:rsid w:val="00ED073F"/>
    <w:rsid w:val="00ED1A9C"/>
    <w:rsid w:val="00ED2735"/>
    <w:rsid w:val="00ED5246"/>
    <w:rsid w:val="00EE1612"/>
    <w:rsid w:val="00EE412A"/>
    <w:rsid w:val="00EE4852"/>
    <w:rsid w:val="00EE5784"/>
    <w:rsid w:val="00EE5AC3"/>
    <w:rsid w:val="00EF2A88"/>
    <w:rsid w:val="00F12090"/>
    <w:rsid w:val="00F31ED4"/>
    <w:rsid w:val="00F32736"/>
    <w:rsid w:val="00F3299F"/>
    <w:rsid w:val="00F33F1B"/>
    <w:rsid w:val="00F35564"/>
    <w:rsid w:val="00F35B01"/>
    <w:rsid w:val="00F36079"/>
    <w:rsid w:val="00F37785"/>
    <w:rsid w:val="00F44014"/>
    <w:rsid w:val="00F4734D"/>
    <w:rsid w:val="00F50C27"/>
    <w:rsid w:val="00F51D1E"/>
    <w:rsid w:val="00F6458A"/>
    <w:rsid w:val="00F72A77"/>
    <w:rsid w:val="00F73881"/>
    <w:rsid w:val="00F75A54"/>
    <w:rsid w:val="00F80AB1"/>
    <w:rsid w:val="00F8718D"/>
    <w:rsid w:val="00F93AB8"/>
    <w:rsid w:val="00F94854"/>
    <w:rsid w:val="00FA1496"/>
    <w:rsid w:val="00FA1760"/>
    <w:rsid w:val="00FA2EED"/>
    <w:rsid w:val="00FA35C3"/>
    <w:rsid w:val="00FA4309"/>
    <w:rsid w:val="00FA712A"/>
    <w:rsid w:val="00FB01EA"/>
    <w:rsid w:val="00FB387A"/>
    <w:rsid w:val="00FB4CB4"/>
    <w:rsid w:val="00FB72C2"/>
    <w:rsid w:val="00FC00B1"/>
    <w:rsid w:val="00FC13BD"/>
    <w:rsid w:val="00FD1A98"/>
    <w:rsid w:val="00FE2750"/>
    <w:rsid w:val="00FF3BB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EE16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EE161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E16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E161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D2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D28E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24F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65281;&#32508;&#21512;&#24179;&#34913;\2020&#32508;&#21512;&#24037;&#20316;\2019&#32479;&#35745;&#20844;&#25253;\2019.3.25&#65306;-&#20844;&#25253;&#37197;&#22270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65281;&#32508;&#21512;&#24179;&#34913;\2020&#32508;&#21512;&#24037;&#20316;\2019&#32479;&#35745;&#20844;&#25253;\2019.3.25&#65306;-&#20844;&#25253;&#37197;&#22270;&#3492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65281;&#32508;&#21512;&#24179;&#34913;\2020&#32508;&#21512;&#24037;&#20316;\2019&#32479;&#35745;&#20844;&#25253;\2019.3.25&#65306;-&#20844;&#25253;&#37197;&#22270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地区生产总值及增速</a:t>
            </a:r>
          </a:p>
        </c:rich>
      </c:tx>
      <c:layout>
        <c:manualLayout>
          <c:xMode val="edge"/>
          <c:yMode val="edge"/>
          <c:x val="0.35329404183758467"/>
          <c:y val="6.431737016479552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171677642091146"/>
          <c:y val="0.29734475109803232"/>
          <c:w val="0.7544924886408606"/>
          <c:h val="0.58109352492554556"/>
        </c:manualLayout>
      </c:layout>
      <c:barChart>
        <c:barDir val="col"/>
        <c:grouping val="clustered"/>
        <c:varyColors val="0"/>
        <c:ser>
          <c:idx val="1"/>
          <c:order val="0"/>
          <c:tx>
            <c:v>地区生产总值</c:v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Sheet1!$A$13:$A$17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Sheet1!$B$13:$B$17</c:f>
              <c:numCache>
                <c:formatCode>0.0_ </c:formatCode>
                <c:ptCount val="5"/>
                <c:pt idx="0">
                  <c:v>612.79999999999995</c:v>
                </c:pt>
                <c:pt idx="1">
                  <c:v>621</c:v>
                </c:pt>
                <c:pt idx="2">
                  <c:v>744.5</c:v>
                </c:pt>
                <c:pt idx="3">
                  <c:v>935.1</c:v>
                </c:pt>
                <c:pt idx="4">
                  <c:v>972.9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513414272"/>
        <c:axId val="513415808"/>
      </c:barChart>
      <c:lineChart>
        <c:grouping val="standard"/>
        <c:varyColors val="0"/>
        <c:ser>
          <c:idx val="0"/>
          <c:order val="1"/>
          <c:tx>
            <c:v>比上年增长</c:v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92015968063873E-2"/>
                  <c:y val="4.8955896906329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258815701930036E-2"/>
                  <c:y val="5.2980132450331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1936127744511211E-2"/>
                  <c:y val="5.29801324503315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597471723220252E-2"/>
                  <c:y val="6.622516556291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936127744511211E-2"/>
                  <c:y val="6.181015452538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Sheet1!$A$13:$A$17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Sheet1!$C$13:$C$17</c:f>
              <c:numCache>
                <c:formatCode>0.0_ </c:formatCode>
                <c:ptCount val="5"/>
                <c:pt idx="0">
                  <c:v>0.5</c:v>
                </c:pt>
                <c:pt idx="1">
                  <c:v>2.2999999999999998</c:v>
                </c:pt>
                <c:pt idx="2">
                  <c:v>7.5</c:v>
                </c:pt>
                <c:pt idx="3">
                  <c:v>6.7</c:v>
                </c:pt>
                <c:pt idx="4">
                  <c:v>6.1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426176"/>
        <c:axId val="513427712"/>
      </c:lineChart>
      <c:catAx>
        <c:axId val="51341427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1341580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13415808"/>
        <c:scaling>
          <c:orientation val="minMax"/>
          <c:max val="1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（亿元）</a:t>
                </a:r>
              </a:p>
            </c:rich>
          </c:tx>
          <c:layout>
            <c:manualLayout>
              <c:xMode val="edge"/>
              <c:yMode val="edge"/>
              <c:x val="2.5948103792415248E-2"/>
              <c:y val="0.12913902155673171"/>
            </c:manualLayout>
          </c:layout>
          <c:overlay val="0"/>
          <c:spPr>
            <a:noFill/>
            <a:ln w="25400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13414272"/>
        <c:crosses val="autoZero"/>
        <c:crossBetween val="between"/>
        <c:majorUnit val="200"/>
        <c:minorUnit val="50"/>
      </c:valAx>
      <c:catAx>
        <c:axId val="513426176"/>
        <c:scaling>
          <c:orientation val="minMax"/>
        </c:scaling>
        <c:delete val="1"/>
        <c:axPos val="b"/>
        <c:majorTickMark val="out"/>
        <c:minorTickMark val="none"/>
        <c:tickLblPos val="none"/>
        <c:crossAx val="513427712"/>
        <c:crosses val="autoZero"/>
        <c:auto val="0"/>
        <c:lblAlgn val="ctr"/>
        <c:lblOffset val="100"/>
        <c:noMultiLvlLbl val="0"/>
      </c:catAx>
      <c:valAx>
        <c:axId val="513427712"/>
        <c:scaling>
          <c:orientation val="minMax"/>
          <c:max val="25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   （</a:t>
                </a:r>
                <a:r>
                  <a:rPr lang="en-US" altLang="zh-CN"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%</a:t>
                </a:r>
                <a:r>
                  <a:rPr lang="zh-CN" altLang="en-US"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11111111111111129"/>
              <c:y val="0.12472406522955241"/>
            </c:manualLayout>
          </c:layout>
          <c:overlay val="0"/>
          <c:spPr>
            <a:noFill/>
            <a:ln w="25400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13426176"/>
        <c:crosses val="max"/>
        <c:crossBetween val="between"/>
        <c:majorUnit val="6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4883608111860403"/>
          <c:y val="0.16761068800826173"/>
          <c:w val="0.49501102781314038"/>
          <c:h val="5.629120950045178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规模以上工业增加值及增速</a:t>
            </a:r>
          </a:p>
        </c:rich>
      </c:tx>
      <c:layout>
        <c:manualLayout>
          <c:xMode val="edge"/>
          <c:yMode val="edge"/>
          <c:x val="0.3061630218687873"/>
          <c:y val="3.525609298837661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121272365805167"/>
          <c:y val="0.25320592074168879"/>
          <c:w val="0.76540755467196819"/>
          <c:h val="0.6378225092100827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Sheet1!$B$25</c:f>
              <c:strCache>
                <c:ptCount val="1"/>
                <c:pt idx="0">
                  <c:v>工业增加值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l"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Sheet1!$A$35:$A$39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Sheet1!$B$35:$B$39</c:f>
              <c:numCache>
                <c:formatCode>0.0</c:formatCode>
                <c:ptCount val="5"/>
                <c:pt idx="0">
                  <c:v>458.5</c:v>
                </c:pt>
                <c:pt idx="1">
                  <c:v>462.3</c:v>
                </c:pt>
                <c:pt idx="2">
                  <c:v>546.4</c:v>
                </c:pt>
                <c:pt idx="3">
                  <c:v>701.5</c:v>
                </c:pt>
                <c:pt idx="4">
                  <c:v>691.9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513456000"/>
        <c:axId val="513457536"/>
      </c:barChart>
      <c:lineChart>
        <c:grouping val="standard"/>
        <c:varyColors val="0"/>
        <c:ser>
          <c:idx val="0"/>
          <c:order val="1"/>
          <c:tx>
            <c:v>比上年增长</c:v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 algn="l"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Sheet1!$C$35:$C$39</c:f>
              <c:numCache>
                <c:formatCode>General</c:formatCode>
                <c:ptCount val="5"/>
                <c:pt idx="0">
                  <c:v>-1.2</c:v>
                </c:pt>
                <c:pt idx="1">
                  <c:v>2.4</c:v>
                </c:pt>
                <c:pt idx="2">
                  <c:v>8.5</c:v>
                </c:pt>
                <c:pt idx="3">
                  <c:v>5.2</c:v>
                </c:pt>
                <c:pt idx="4" formatCode="0.0_ 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807872"/>
        <c:axId val="513809408"/>
      </c:lineChart>
      <c:catAx>
        <c:axId val="51345600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1345753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13457536"/>
        <c:scaling>
          <c:orientation val="minMax"/>
          <c:max val="75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（亿元）</a:t>
                </a:r>
              </a:p>
            </c:rich>
          </c:tx>
          <c:layout>
            <c:manualLayout>
              <c:xMode val="edge"/>
              <c:yMode val="edge"/>
              <c:x val="2.0543406229290941E-2"/>
              <c:y val="0.1356854143232096"/>
            </c:manualLayout>
          </c:layout>
          <c:overlay val="0"/>
          <c:spPr>
            <a:noFill/>
            <a:ln w="25400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13456000"/>
        <c:crosses val="autoZero"/>
        <c:crossBetween val="between"/>
        <c:majorUnit val="150"/>
        <c:minorUnit val="50"/>
      </c:valAx>
      <c:catAx>
        <c:axId val="513807872"/>
        <c:scaling>
          <c:orientation val="minMax"/>
        </c:scaling>
        <c:delete val="1"/>
        <c:axPos val="b"/>
        <c:majorTickMark val="out"/>
        <c:minorTickMark val="none"/>
        <c:tickLblPos val="none"/>
        <c:crossAx val="513809408"/>
        <c:crosses val="autoZero"/>
        <c:auto val="0"/>
        <c:lblAlgn val="ctr"/>
        <c:lblOffset val="100"/>
        <c:noMultiLvlLbl val="0"/>
      </c:catAx>
      <c:valAx>
        <c:axId val="513809408"/>
        <c:scaling>
          <c:orientation val="minMax"/>
          <c:max val="45"/>
          <c:min val="-5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（</a:t>
                </a:r>
                <a:r>
                  <a:rPr lang="en-US" altLang="zh-CN"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%</a:t>
                </a:r>
                <a:r>
                  <a:rPr lang="zh-CN" altLang="en-US"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12127236580516898"/>
              <c:y val="0.13141207349081371"/>
            </c:manualLayout>
          </c:layout>
          <c:overlay val="0"/>
          <c:spPr>
            <a:noFill/>
            <a:ln w="25400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13807872"/>
        <c:crosses val="max"/>
        <c:crossBetween val="between"/>
        <c:majorUnit val="10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9953611663353213"/>
          <c:y val="0.14316272965879265"/>
          <c:w val="0.46918489065606633"/>
          <c:h val="5.448743907011712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全社会固定资产投资及增速</a:t>
            </a:r>
          </a:p>
        </c:rich>
      </c:tx>
      <c:layout>
        <c:manualLayout>
          <c:xMode val="edge"/>
          <c:yMode val="edge"/>
          <c:x val="0.30538985022082304"/>
          <c:y val="3.57143818561141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74077185623417"/>
          <c:y val="0.27272727272727282"/>
          <c:w val="0.77245659551326151"/>
          <c:h val="0.6136363636363635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Sheet1!$B$46</c:f>
              <c:strCache>
                <c:ptCount val="1"/>
                <c:pt idx="0">
                  <c:v>固定资产投资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Sheet1!$A$57:$A$61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Sheet1!$B$57:$B$61</c:f>
              <c:numCache>
                <c:formatCode>0.0_);[Red]\(0.0\)</c:formatCode>
                <c:ptCount val="5"/>
                <c:pt idx="0">
                  <c:v>305.60000000000002</c:v>
                </c:pt>
                <c:pt idx="1">
                  <c:v>196.1</c:v>
                </c:pt>
                <c:pt idx="2">
                  <c:v>264</c:v>
                </c:pt>
                <c:pt idx="3">
                  <c:v>322.60000000000002</c:v>
                </c:pt>
                <c:pt idx="4">
                  <c:v>374.3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513841408"/>
        <c:axId val="513859584"/>
      </c:barChart>
      <c:lineChart>
        <c:grouping val="standard"/>
        <c:varyColors val="0"/>
        <c:ser>
          <c:idx val="0"/>
          <c:order val="1"/>
          <c:tx>
            <c:v>比上年增长</c:v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1230871590152646E-2"/>
                  <c:y val="-4.97863247863254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1876247504990017E-2"/>
                  <c:y val="-6.2606837606837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924151696606789E-2"/>
                  <c:y val="5.70512820512820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0585495675316025E-2"/>
                  <c:y val="5.27777777777777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0585495675316025E-2"/>
                  <c:y val="5.3185274917558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Sheet1!$A$57:$A$61</c:f>
              <c:strCache>
                <c:ptCount val="5"/>
                <c:pt idx="0">
                  <c:v>2015年</c:v>
                </c:pt>
                <c:pt idx="1">
                  <c:v>2016年</c:v>
                </c:pt>
                <c:pt idx="2">
                  <c:v>2017年</c:v>
                </c:pt>
                <c:pt idx="3">
                  <c:v>2018年</c:v>
                </c:pt>
                <c:pt idx="4">
                  <c:v>2019年</c:v>
                </c:pt>
              </c:strCache>
            </c:strRef>
          </c:cat>
          <c:val>
            <c:numRef>
              <c:f>Sheet1!$C$57:$C$61</c:f>
              <c:numCache>
                <c:formatCode>0.0_ </c:formatCode>
                <c:ptCount val="5"/>
                <c:pt idx="0">
                  <c:v>-8.7000000000000011</c:v>
                </c:pt>
                <c:pt idx="1">
                  <c:v>-35.800000000000004</c:v>
                </c:pt>
                <c:pt idx="2">
                  <c:v>40.5</c:v>
                </c:pt>
                <c:pt idx="3">
                  <c:v>28.4</c:v>
                </c:pt>
                <c:pt idx="4">
                  <c:v>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861504"/>
        <c:axId val="513863040"/>
      </c:lineChart>
      <c:catAx>
        <c:axId val="51384140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1385958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513859584"/>
        <c:scaling>
          <c:orientation val="minMax"/>
          <c:max val="4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（亿元）</a:t>
                </a:r>
              </a:p>
            </c:rich>
          </c:tx>
          <c:layout>
            <c:manualLayout>
              <c:xMode val="edge"/>
              <c:yMode val="edge"/>
              <c:x val="4.6573519627411894E-3"/>
              <c:y val="0.15476176054916432"/>
            </c:manualLayout>
          </c:layout>
          <c:overlay val="0"/>
          <c:spPr>
            <a:noFill/>
            <a:ln w="25400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13841408"/>
        <c:crosses val="autoZero"/>
        <c:crossBetween val="between"/>
        <c:majorUnit val="100"/>
        <c:minorUnit val="50"/>
      </c:valAx>
      <c:catAx>
        <c:axId val="513861504"/>
        <c:scaling>
          <c:orientation val="minMax"/>
        </c:scaling>
        <c:delete val="1"/>
        <c:axPos val="b"/>
        <c:majorTickMark val="out"/>
        <c:minorTickMark val="none"/>
        <c:tickLblPos val="none"/>
        <c:crossAx val="513863040"/>
        <c:crosses val="autoZero"/>
        <c:auto val="0"/>
        <c:lblAlgn val="ctr"/>
        <c:lblOffset val="100"/>
        <c:noMultiLvlLbl val="0"/>
      </c:catAx>
      <c:valAx>
        <c:axId val="513863040"/>
        <c:scaling>
          <c:orientation val="minMax"/>
          <c:max val="150"/>
          <c:min val="-5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（</a:t>
                </a:r>
                <a:r>
                  <a:rPr lang="en-US" altLang="zh-CN"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%</a:t>
                </a:r>
                <a:r>
                  <a:rPr lang="zh-CN" altLang="en-US"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10246341961745795"/>
              <c:y val="0.15909078672858201"/>
            </c:manualLayout>
          </c:layout>
          <c:overlay val="0"/>
          <c:spPr>
            <a:noFill/>
            <a:ln w="25400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13861504"/>
        <c:crosses val="max"/>
        <c:crossBetween val="between"/>
        <c:majorUnit val="50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3952137719312044"/>
          <c:y val="0.15584426946631888"/>
          <c:w val="0.55089925136604034"/>
          <c:h val="7.142842721582891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C946-A71A-439B-973A-C2E67238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1220</Words>
  <Characters>6956</Characters>
  <Application>Microsoft Office Word</Application>
  <DocSecurity>0</DocSecurity>
  <Lines>57</Lines>
  <Paragraphs>16</Paragraphs>
  <ScaleCrop>false</ScaleCrop>
  <Company>克拉玛依市人民政府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 Division</cp:lastModifiedBy>
  <cp:revision>6</cp:revision>
  <cp:lastPrinted>2019-03-29T09:57:00Z</cp:lastPrinted>
  <dcterms:created xsi:type="dcterms:W3CDTF">2020-04-10T12:44:00Z</dcterms:created>
  <dcterms:modified xsi:type="dcterms:W3CDTF">2021-06-15T10:43:00Z</dcterms:modified>
</cp:coreProperties>
</file>